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Fonts w:hint="eastAsia" w:ascii="宋体" w:hAnsi="宋体" w:eastAsia="方正小标宋_GBK" w:cs="方正小标宋_GBK"/>
          <w:vanish w:val="0"/>
          <w:sz w:val="44"/>
          <w:szCs w:val="44"/>
        </w:rPr>
      </w:pPr>
      <w:r>
        <w:rPr>
          <w:rStyle w:val="10"/>
          <w:rFonts w:hint="eastAsia" w:ascii="宋体" w:hAnsi="宋体" w:eastAsia="方正小标宋_GBK" w:cs="方正小标宋_GBK"/>
          <w:b w:val="0"/>
          <w:bCs/>
          <w:vanish w:val="0"/>
          <w:sz w:val="44"/>
          <w:szCs w:val="44"/>
        </w:rPr>
        <w:t>重庆市江津区科技创新中心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Style w:val="10"/>
          <w:rFonts w:hint="eastAsia" w:ascii="宋体" w:hAnsi="宋体" w:eastAsia="方正小标宋_GBK" w:cs="方正小标宋_GBK"/>
          <w:b w:val="0"/>
          <w:bCs/>
          <w:vanish w:val="0"/>
          <w:sz w:val="44"/>
          <w:szCs w:val="44"/>
        </w:rPr>
      </w:pPr>
      <w:r>
        <w:rPr>
          <w:rStyle w:val="10"/>
          <w:rFonts w:hint="eastAsia" w:ascii="宋体" w:hAnsi="宋体" w:eastAsia="方正小标宋_GBK" w:cs="方正小标宋_GBK"/>
          <w:b w:val="0"/>
          <w:bCs/>
          <w:vanish w:val="0"/>
          <w:sz w:val="44"/>
          <w:szCs w:val="44"/>
        </w:rPr>
        <w:t>2022年度部门决算</w:t>
      </w:r>
      <w:r>
        <w:rPr>
          <w:rStyle w:val="10"/>
          <w:rFonts w:hint="eastAsia" w:hAnsi="宋体" w:eastAsia="方正小标宋_GBK" w:cs="方正小标宋_GBK"/>
          <w:b w:val="0"/>
          <w:bCs/>
          <w:vanish w:val="0"/>
          <w:sz w:val="44"/>
          <w:szCs w:val="44"/>
          <w:lang w:eastAsia="zh-CN"/>
        </w:rPr>
        <w:t>公开</w:t>
      </w:r>
      <w:r>
        <w:rPr>
          <w:rStyle w:val="10"/>
          <w:rFonts w:hint="eastAsia" w:ascii="宋体" w:hAnsi="宋体" w:eastAsia="方正小标宋_GBK" w:cs="方正小标宋_GBK"/>
          <w:b w:val="0"/>
          <w:bCs/>
          <w:vanish w:val="0"/>
          <w:sz w:val="44"/>
          <w:szCs w:val="44"/>
        </w:rPr>
        <w:t>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Style w:val="10"/>
          <w:rFonts w:hint="eastAsia" w:ascii="宋体" w:hAnsi="宋体" w:eastAsia="方正小标宋_GBK" w:cs="方正小标宋_GBK"/>
          <w:b w:val="0"/>
          <w:bCs/>
          <w:vanish w:val="0"/>
          <w:sz w:val="44"/>
          <w:szCs w:val="44"/>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宋体" w:hAnsi="宋体" w:eastAsia="方正黑体_GBK" w:cs="方正黑体_GBK"/>
          <w:b w:val="0"/>
          <w:bCs/>
          <w:vanish w:val="0"/>
          <w:sz w:val="32"/>
          <w:szCs w:val="32"/>
        </w:rPr>
      </w:pPr>
      <w:r>
        <w:rPr>
          <w:rStyle w:val="10"/>
          <w:rFonts w:hint="eastAsia" w:ascii="宋体" w:hAnsi="宋体" w:eastAsia="方正黑体_GBK" w:cs="方正黑体_GBK"/>
          <w:b w:val="0"/>
          <w:bCs/>
          <w:vanish w:val="0"/>
          <w:sz w:val="32"/>
          <w:szCs w:val="32"/>
        </w:rPr>
        <w:t>一、部门基本情况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（一）职能职责</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1.宣传贯彻科技成果保护及转化、科技金融、科技人才、双创等有关的法律法规、方针政策。</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2.负责拟定全区院士专家工作站、博士后科研工作站、“双创”工作发展规划，制定相关政策、管理细则、绩效考评机制和实施方案。</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3.承担与国内外科研院所、高等院校、高科技组织（团体）的合作协调联络工作，指导院士专家工作站、博士后科研工作站的建设、管理、认定和日常服务工作，协助落实院士专家工作站、博士后科研工作站合作项目，协助引进高层次人才，落实优惠政策。</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4.负责区域性创新创业生态体系构建，指导众创空间、孵化器、创新产业服务平台建设；承担创新创业团队的培育、引进、日常服务和管理工作；负责全区孵化器、加速器的运行管理工作；负责区级众创空间的认定和管理工作，国家级市级众创空间的创建和申报工作；组织开展创新创业比赛、辅导和培训；组织开展政产学研用科技合作交流工作；负责重大政产学研合作项目、载体的组织实施。</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5.负责全区科技创新成果的对外展示，统计全区科技创新资源和科技产业、人才创新成果，建设全区科技资源要素大数据平台；负责中心大楼及附属设施的日常管理运行工作。</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6.实施科技成果推广计划项目，指导企业科技项目申报，开展技术合同认定登记的具体事务性工作；搭建区域性科技成果转化平台、技术交易市场，开展技术交易合作活动，指导和组织全区科技成果的转化、评价与推广应用。</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7.负责全区科技投融资发展战略研究工作，提供投融资和创业服务，做好本级科技投融资资金（基金）的运作与管理工作；对扶持项目进行监管和绩效评价，代表种子基金出资人行使权利管理种子基金。</w:t>
      </w:r>
    </w:p>
    <w:p>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8.负责天使、风投等基金的引进或组建工作，并对其监督和风险管控，负责投资、贷款回收和组织损失认定的具体事务性工作；负责基金统计报告工作，完成基金委托管理协议约定的其他工作。</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9.承担行政主管部门交办的其他任务。</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（二）机构设置</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本单位无内设机构。</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黑体_GBK" w:cs="方正黑体_GBK"/>
          <w:b w:val="0"/>
          <w:bCs/>
          <w:vanish w:val="0"/>
          <w:sz w:val="32"/>
          <w:szCs w:val="32"/>
        </w:rPr>
        <w:t>二、部门决算情况说明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（一）收入支出决算总体情况说明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val="en-US" w:eastAsia="zh-CN"/>
        </w:rPr>
      </w:pPr>
      <w:r>
        <w:rPr>
          <w:rStyle w:val="10"/>
          <w:rFonts w:hint="eastAsia" w:ascii="宋体" w:hAnsi="宋体" w:eastAsia="宋体" w:cs="宋体"/>
          <w:b w:val="0"/>
          <w:bCs/>
          <w:vanish w:val="0"/>
          <w:sz w:val="32"/>
          <w:szCs w:val="32"/>
        </w:rPr>
        <w:t>1.</w:t>
      </w:r>
      <w:r>
        <w:rPr>
          <w:rStyle w:val="10"/>
          <w:rFonts w:hint="eastAsia" w:ascii="宋体" w:hAnsi="宋体" w:eastAsia="方正仿宋_GBK" w:cs="方正仿宋_GBK"/>
          <w:b w:val="0"/>
          <w:bCs/>
          <w:vanish w:val="0"/>
          <w:sz w:val="32"/>
          <w:szCs w:val="32"/>
        </w:rPr>
        <w:t>总体情况</w:t>
      </w:r>
      <w:r>
        <w:rPr>
          <w:rStyle w:val="10"/>
          <w:rFonts w:hint="eastAsia" w:ascii="宋体" w:hAnsi="宋体" w:eastAsia="宋体" w:cs="宋体"/>
          <w:b w:val="0"/>
          <w:bCs/>
          <w:vanish w:val="0"/>
          <w:sz w:val="32"/>
          <w:szCs w:val="32"/>
        </w:rPr>
        <w:t>。</w:t>
      </w:r>
      <w:r>
        <w:rPr>
          <w:rFonts w:hint="eastAsia" w:ascii="宋体" w:hAnsi="宋体" w:eastAsia="方正仿宋_GBK" w:cs="方正仿宋_GBK"/>
          <w:b w:val="0"/>
          <w:bCs/>
          <w:vanish w:val="0"/>
          <w:sz w:val="32"/>
          <w:szCs w:val="32"/>
        </w:rPr>
        <w:t>2022年度收入总计308.99万元，支出总计308.99万元。收支较上年决算数增加308.99万元,增长</w:t>
      </w:r>
      <w:r>
        <w:rPr>
          <w:rFonts w:hint="eastAsia" w:hAnsi="宋体" w:eastAsia="方正仿宋_GBK" w:cs="方正仿宋_GBK"/>
          <w:b w:val="0"/>
          <w:bCs/>
          <w:vanish w:val="0"/>
          <w:sz w:val="32"/>
          <w:szCs w:val="32"/>
          <w:lang w:val="en-US" w:eastAsia="zh-CN"/>
        </w:rPr>
        <w:t>100</w:t>
      </w:r>
      <w:r>
        <w:rPr>
          <w:rFonts w:hint="eastAsia" w:ascii="宋体" w:hAnsi="宋体" w:eastAsia="方正仿宋_GBK" w:cs="方正仿宋_GBK"/>
          <w:b w:val="0"/>
          <w:bCs/>
          <w:vanish w:val="0"/>
          <w:sz w:val="32"/>
          <w:szCs w:val="32"/>
        </w:rPr>
        <w:t>%，主要原因是</w:t>
      </w:r>
      <w:r>
        <w:rPr>
          <w:rFonts w:hint="eastAsia" w:ascii="宋体" w:hAnsi="宋体" w:eastAsia="方正仿宋_GBK" w:cs="方正仿宋_GBK"/>
          <w:b w:val="0"/>
          <w:bCs/>
          <w:sz w:val="32"/>
          <w:szCs w:val="32"/>
        </w:rPr>
        <w:t>以前年度均由科技局机关核算，</w:t>
      </w:r>
      <w:r>
        <w:rPr>
          <w:rFonts w:hint="eastAsia" w:ascii="宋体" w:hAnsi="宋体" w:eastAsia="方正仿宋_GBK" w:cs="方正仿宋_GBK"/>
          <w:b w:val="0"/>
          <w:bCs/>
          <w:vanish w:val="0"/>
          <w:sz w:val="32"/>
          <w:szCs w:val="32"/>
          <w:lang w:eastAsia="zh-CN"/>
        </w:rPr>
        <w:t>本年度本部门独立核算，其财务收支、预决算情况均纳入本部门</w:t>
      </w:r>
      <w:r>
        <w:rPr>
          <w:rFonts w:hint="eastAsia" w:ascii="宋体" w:hAnsi="宋体" w:eastAsia="方正仿宋_GBK" w:cs="方正仿宋_GBK"/>
          <w:b w:val="0"/>
          <w:bCs/>
          <w:vanish w:val="0"/>
          <w:sz w:val="32"/>
          <w:szCs w:val="32"/>
          <w:lang w:val="en-US" w:eastAsia="zh-CN"/>
        </w:rPr>
        <w:t>2022年度决算编制。</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Style w:val="10"/>
          <w:rFonts w:hint="eastAsia" w:ascii="宋体" w:hAnsi="宋体" w:eastAsia="宋体" w:cs="宋体"/>
          <w:b w:val="0"/>
          <w:bCs/>
          <w:vanish w:val="0"/>
          <w:sz w:val="32"/>
          <w:szCs w:val="32"/>
        </w:rPr>
        <w:t>2.</w:t>
      </w:r>
      <w:r>
        <w:rPr>
          <w:rStyle w:val="10"/>
          <w:rFonts w:hint="eastAsia" w:ascii="宋体" w:hAnsi="宋体" w:eastAsia="方正仿宋_GBK" w:cs="方正仿宋_GBK"/>
          <w:b w:val="0"/>
          <w:bCs/>
          <w:vanish w:val="0"/>
          <w:sz w:val="32"/>
          <w:szCs w:val="32"/>
        </w:rPr>
        <w:t>收入情况</w:t>
      </w:r>
      <w:r>
        <w:rPr>
          <w:rStyle w:val="10"/>
          <w:rFonts w:hint="eastAsia" w:ascii="宋体" w:hAnsi="宋体" w:eastAsia="宋体" w:cs="宋体"/>
          <w:b w:val="0"/>
          <w:bCs/>
          <w:vanish w:val="0"/>
          <w:sz w:val="32"/>
          <w:szCs w:val="32"/>
        </w:rPr>
        <w:t>。</w:t>
      </w:r>
      <w:r>
        <w:rPr>
          <w:rFonts w:hint="eastAsia" w:ascii="宋体" w:hAnsi="宋体" w:eastAsia="方正仿宋_GBK" w:cs="方正仿宋_GBK"/>
          <w:b w:val="0"/>
          <w:bCs/>
          <w:vanish w:val="0"/>
          <w:sz w:val="32"/>
          <w:szCs w:val="32"/>
        </w:rPr>
        <w:t>2022年度收入合计308.99万元，较上年决算数增加308.99万元，增长</w:t>
      </w:r>
      <w:r>
        <w:rPr>
          <w:rFonts w:hint="eastAsia" w:ascii="宋体" w:hAnsi="宋体" w:eastAsia="方正仿宋_GBK" w:cs="方正仿宋_GBK"/>
          <w:b w:val="0"/>
          <w:bCs/>
          <w:vanish w:val="0"/>
          <w:sz w:val="32"/>
          <w:szCs w:val="32"/>
          <w:lang w:val="en-US" w:eastAsia="zh-CN"/>
        </w:rPr>
        <w:t>100</w:t>
      </w:r>
      <w:r>
        <w:rPr>
          <w:rFonts w:hint="eastAsia" w:ascii="宋体" w:hAnsi="宋体" w:eastAsia="方正仿宋_GBK" w:cs="方正仿宋_GBK"/>
          <w:b w:val="0"/>
          <w:bCs/>
          <w:vanish w:val="0"/>
          <w:sz w:val="32"/>
          <w:szCs w:val="32"/>
        </w:rPr>
        <w:t>%，主要原因是</w:t>
      </w:r>
      <w:r>
        <w:rPr>
          <w:rFonts w:hint="eastAsia" w:ascii="宋体" w:hAnsi="宋体" w:eastAsia="方正仿宋_GBK" w:cs="方正仿宋_GBK"/>
          <w:b w:val="0"/>
          <w:bCs/>
          <w:sz w:val="32"/>
          <w:szCs w:val="32"/>
        </w:rPr>
        <w:t>以前年度均由科技局机关核算，</w:t>
      </w:r>
      <w:r>
        <w:rPr>
          <w:rFonts w:hint="eastAsia" w:ascii="宋体" w:hAnsi="宋体" w:eastAsia="方正仿宋_GBK" w:cs="方正仿宋_GBK"/>
          <w:b w:val="0"/>
          <w:bCs/>
          <w:vanish w:val="0"/>
          <w:sz w:val="32"/>
          <w:szCs w:val="32"/>
          <w:lang w:eastAsia="zh-CN"/>
        </w:rPr>
        <w:t>本年度本部门独立核算，其财务收支、预决算情况均纳入本部门</w:t>
      </w:r>
      <w:r>
        <w:rPr>
          <w:rFonts w:hint="eastAsia" w:ascii="宋体" w:hAnsi="宋体" w:eastAsia="方正仿宋_GBK" w:cs="方正仿宋_GBK"/>
          <w:b w:val="0"/>
          <w:bCs/>
          <w:vanish w:val="0"/>
          <w:sz w:val="32"/>
          <w:szCs w:val="32"/>
          <w:lang w:val="en-US" w:eastAsia="zh-CN"/>
        </w:rPr>
        <w:t>2022年度决算编制。</w:t>
      </w:r>
      <w:r>
        <w:rPr>
          <w:rFonts w:hint="eastAsia" w:ascii="宋体" w:hAnsi="宋体" w:eastAsia="方正仿宋_GBK" w:cs="方正仿宋_GBK"/>
          <w:b w:val="0"/>
          <w:bCs/>
          <w:vanish w:val="0"/>
          <w:sz w:val="32"/>
          <w:szCs w:val="32"/>
        </w:rPr>
        <w:t>其中：财政拨款收入308.99万元，占100%</w:t>
      </w:r>
      <w:r>
        <w:rPr>
          <w:rFonts w:hint="eastAsia" w:ascii="宋体"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Style w:val="10"/>
          <w:rFonts w:hint="eastAsia" w:ascii="宋体" w:hAnsi="宋体" w:eastAsia="宋体" w:cs="宋体"/>
          <w:b w:val="0"/>
          <w:bCs/>
          <w:vanish w:val="0"/>
          <w:sz w:val="32"/>
          <w:szCs w:val="32"/>
        </w:rPr>
        <w:t>3.</w:t>
      </w:r>
      <w:r>
        <w:rPr>
          <w:rStyle w:val="10"/>
          <w:rFonts w:hint="eastAsia" w:ascii="宋体" w:hAnsi="宋体" w:eastAsia="方正仿宋_GBK" w:cs="方正仿宋_GBK"/>
          <w:b w:val="0"/>
          <w:bCs/>
          <w:vanish w:val="0"/>
          <w:sz w:val="32"/>
          <w:szCs w:val="32"/>
        </w:rPr>
        <w:t>支出情况。</w:t>
      </w:r>
      <w:r>
        <w:rPr>
          <w:rFonts w:hint="eastAsia" w:ascii="宋体" w:hAnsi="宋体" w:eastAsia="方正仿宋_GBK" w:cs="方正仿宋_GBK"/>
          <w:b w:val="0"/>
          <w:bCs/>
          <w:vanish w:val="0"/>
          <w:sz w:val="32"/>
          <w:szCs w:val="32"/>
        </w:rPr>
        <w:t>2022年度支出合计308.99万元，较上年决算增加308.99万元，增长</w:t>
      </w:r>
      <w:r>
        <w:rPr>
          <w:rFonts w:hint="eastAsia" w:ascii="宋体" w:hAnsi="宋体" w:eastAsia="方正仿宋_GBK" w:cs="方正仿宋_GBK"/>
          <w:b w:val="0"/>
          <w:bCs/>
          <w:vanish w:val="0"/>
          <w:sz w:val="32"/>
          <w:szCs w:val="32"/>
          <w:lang w:val="en-US" w:eastAsia="zh-CN"/>
        </w:rPr>
        <w:t>100</w:t>
      </w:r>
      <w:r>
        <w:rPr>
          <w:rFonts w:hint="eastAsia" w:ascii="宋体" w:hAnsi="宋体" w:eastAsia="方正仿宋_GBK" w:cs="方正仿宋_GBK"/>
          <w:b w:val="0"/>
          <w:bCs/>
          <w:vanish w:val="0"/>
          <w:sz w:val="32"/>
          <w:szCs w:val="32"/>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hAnsi="宋体" w:eastAsia="方正仿宋_GBK" w:cs="方正仿宋_GBK"/>
          <w:vanish w:val="0"/>
          <w:sz w:val="32"/>
          <w:szCs w:val="32"/>
          <w:shd w:val="clear" w:color="auto" w:fill="auto"/>
          <w:lang w:eastAsia="zh-CN"/>
        </w:rPr>
        <w:t>。</w:t>
      </w:r>
      <w:r>
        <w:rPr>
          <w:rFonts w:hint="eastAsia" w:ascii="宋体" w:hAnsi="宋体" w:eastAsia="方正仿宋_GBK" w:cs="方正仿宋_GBK"/>
          <w:b w:val="0"/>
          <w:bCs/>
          <w:vanish w:val="0"/>
          <w:sz w:val="32"/>
          <w:szCs w:val="32"/>
        </w:rPr>
        <w:t>其中：基本支出246.99万元，占79.9%；项目支出62.00万元，占20.1%</w:t>
      </w:r>
      <w:r>
        <w:rPr>
          <w:rFonts w:hint="eastAsia" w:ascii="宋体"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Style w:val="10"/>
          <w:rFonts w:hint="eastAsia" w:ascii="宋体" w:hAnsi="宋体" w:eastAsia="宋体" w:cs="宋体"/>
          <w:b w:val="0"/>
          <w:bCs/>
          <w:vanish w:val="0"/>
          <w:sz w:val="32"/>
          <w:szCs w:val="32"/>
        </w:rPr>
        <w:t>4.</w:t>
      </w:r>
      <w:r>
        <w:rPr>
          <w:rStyle w:val="10"/>
          <w:rFonts w:hint="eastAsia" w:ascii="宋体" w:hAnsi="宋体" w:eastAsia="方正仿宋_GBK" w:cs="方正仿宋_GBK"/>
          <w:b w:val="0"/>
          <w:bCs/>
          <w:vanish w:val="0"/>
          <w:sz w:val="32"/>
          <w:szCs w:val="32"/>
        </w:rPr>
        <w:t>结转结余情况。</w:t>
      </w:r>
      <w:r>
        <w:rPr>
          <w:rFonts w:hint="eastAsia" w:ascii="宋体" w:hAnsi="宋体" w:eastAsia="方正仿宋_GBK" w:cs="方正仿宋_GBK"/>
          <w:b w:val="0"/>
          <w:bCs/>
          <w:vanish w:val="0"/>
          <w:sz w:val="32"/>
          <w:szCs w:val="32"/>
        </w:rPr>
        <w:t>2022年度年末结转和结余0.00万元</w:t>
      </w:r>
      <w:r>
        <w:rPr>
          <w:rFonts w:hint="eastAsia" w:ascii="宋体"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（二）财政拨款收入支出决算总体情况说明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val="en-US" w:eastAsia="zh-CN"/>
        </w:rPr>
      </w:pPr>
      <w:r>
        <w:rPr>
          <w:rFonts w:hint="eastAsia" w:ascii="宋体" w:hAnsi="宋体" w:eastAsia="方正仿宋_GBK" w:cs="方正仿宋_GBK"/>
          <w:b w:val="0"/>
          <w:bCs/>
          <w:vanish w:val="0"/>
          <w:sz w:val="32"/>
          <w:szCs w:val="32"/>
        </w:rPr>
        <w:t>2022年度财政拨款收、支总计308.99万元。与2021年相比，财政拨款收、支总计各增加308.99万元，增长</w:t>
      </w:r>
      <w:r>
        <w:rPr>
          <w:rFonts w:hint="eastAsia" w:ascii="宋体" w:hAnsi="宋体" w:eastAsia="方正仿宋_GBK" w:cs="方正仿宋_GBK"/>
          <w:b w:val="0"/>
          <w:bCs/>
          <w:vanish w:val="0"/>
          <w:sz w:val="32"/>
          <w:szCs w:val="32"/>
          <w:lang w:val="en-US" w:eastAsia="zh-CN"/>
        </w:rPr>
        <w:t>100</w:t>
      </w:r>
      <w:r>
        <w:rPr>
          <w:rFonts w:hint="eastAsia" w:ascii="宋体" w:hAnsi="宋体" w:eastAsia="方正仿宋_GBK" w:cs="方正仿宋_GBK"/>
          <w:b w:val="0"/>
          <w:bCs/>
          <w:vanish w:val="0"/>
          <w:sz w:val="32"/>
          <w:szCs w:val="32"/>
        </w:rPr>
        <w:t>%。主要原因</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ascii="宋体" w:hAnsi="宋体" w:eastAsia="方正仿宋_GBK" w:cs="方正仿宋_GBK"/>
          <w:b w:val="0"/>
          <w:bCs/>
          <w:vanish w:val="0"/>
          <w:sz w:val="32"/>
          <w:szCs w:val="32"/>
          <w:lang w:val="en-US"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（三）一般公共预算财政拨款收入支出决算情况说明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宋体" w:cs="宋体"/>
          <w:b w:val="0"/>
          <w:bCs/>
          <w:vanish w:val="0"/>
          <w:sz w:val="32"/>
          <w:szCs w:val="32"/>
        </w:rPr>
        <w:t>1.</w:t>
      </w:r>
      <w:r>
        <w:rPr>
          <w:rStyle w:val="10"/>
          <w:rFonts w:hint="eastAsia" w:ascii="宋体" w:hAnsi="宋体" w:eastAsia="方正仿宋_GBK" w:cs="方正仿宋_GBK"/>
          <w:b w:val="0"/>
          <w:bCs/>
          <w:vanish w:val="0"/>
          <w:sz w:val="32"/>
          <w:szCs w:val="32"/>
        </w:rPr>
        <w:t>收入情况。</w:t>
      </w:r>
      <w:r>
        <w:rPr>
          <w:rFonts w:hint="eastAsia" w:ascii="宋体" w:hAnsi="宋体" w:eastAsia="方正仿宋_GBK" w:cs="方正仿宋_GBK"/>
          <w:b w:val="0"/>
          <w:bCs/>
          <w:vanish w:val="0"/>
          <w:sz w:val="32"/>
          <w:szCs w:val="32"/>
        </w:rPr>
        <w:t>2022年度一般公共预算财政拨款收入308.99万元，较上年决算数增加308.99万元，增长</w:t>
      </w:r>
      <w:r>
        <w:rPr>
          <w:rFonts w:hint="eastAsia" w:ascii="宋体" w:hAnsi="宋体" w:eastAsia="方正仿宋_GBK" w:cs="方正仿宋_GBK"/>
          <w:b w:val="0"/>
          <w:bCs/>
          <w:vanish w:val="0"/>
          <w:sz w:val="32"/>
          <w:szCs w:val="32"/>
          <w:lang w:val="en-US" w:eastAsia="zh-CN"/>
        </w:rPr>
        <w:t>100</w:t>
      </w:r>
      <w:r>
        <w:rPr>
          <w:rFonts w:hint="eastAsia" w:ascii="宋体" w:hAnsi="宋体" w:eastAsia="方正仿宋_GBK" w:cs="方正仿宋_GBK"/>
          <w:b w:val="0"/>
          <w:bCs/>
          <w:vanish w:val="0"/>
          <w:sz w:val="32"/>
          <w:szCs w:val="32"/>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hAnsi="宋体" w:eastAsia="方正仿宋_GBK" w:cs="方正仿宋_GBK"/>
          <w:b w:val="0"/>
          <w:bCs/>
          <w:vanish w:val="0"/>
          <w:color w:val="auto"/>
          <w:sz w:val="32"/>
          <w:szCs w:val="32"/>
          <w:lang w:eastAsia="zh-CN"/>
        </w:rPr>
        <w:t>。</w:t>
      </w:r>
      <w:r>
        <w:rPr>
          <w:rFonts w:hint="eastAsia" w:ascii="宋体" w:hAnsi="宋体" w:eastAsia="方正仿宋_GBK" w:cs="方正仿宋_GBK"/>
          <w:b w:val="0"/>
          <w:bCs/>
          <w:vanish w:val="0"/>
          <w:sz w:val="32"/>
          <w:szCs w:val="32"/>
        </w:rPr>
        <w:t>较年初预算数减少29.32万元，下降8.7%。主要原因是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r>
        <w:rPr>
          <w:rFonts w:hint="eastAsia" w:ascii="宋体" w:hAnsi="宋体" w:eastAsia="方正仿宋_GBK" w:cs="方正仿宋_GBK"/>
          <w:b w:val="0"/>
          <w:bCs/>
          <w:vanish w:val="0"/>
          <w:sz w:val="32"/>
          <w:szCs w:val="32"/>
        </w:rPr>
        <w:t>此外，年初财政拨款结转和结余0.00万元。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hAnsi="宋体" w:eastAsia="方正仿宋_GBK" w:cs="方正仿宋_GBK"/>
          <w:vanish w:val="0"/>
          <w:sz w:val="32"/>
          <w:szCs w:val="32"/>
          <w:shd w:val="clear" w:color="auto" w:fill="auto"/>
          <w:lang w:eastAsia="zh-CN"/>
        </w:rPr>
      </w:pPr>
      <w:r>
        <w:rPr>
          <w:rStyle w:val="10"/>
          <w:rFonts w:hint="eastAsia" w:ascii="宋体" w:hAnsi="宋体" w:eastAsia="宋体" w:cs="宋体"/>
          <w:b w:val="0"/>
          <w:bCs/>
          <w:vanish w:val="0"/>
          <w:sz w:val="32"/>
          <w:szCs w:val="32"/>
        </w:rPr>
        <w:t>2.</w:t>
      </w:r>
      <w:r>
        <w:rPr>
          <w:rStyle w:val="10"/>
          <w:rFonts w:hint="eastAsia" w:ascii="宋体" w:hAnsi="宋体" w:eastAsia="方正仿宋_GBK" w:cs="方正仿宋_GBK"/>
          <w:b w:val="0"/>
          <w:bCs/>
          <w:vanish w:val="0"/>
          <w:sz w:val="32"/>
          <w:szCs w:val="32"/>
        </w:rPr>
        <w:t>支出情况。</w:t>
      </w:r>
      <w:r>
        <w:rPr>
          <w:rFonts w:hint="eastAsia" w:ascii="宋体" w:hAnsi="宋体" w:eastAsia="方正仿宋_GBK" w:cs="方正仿宋_GBK"/>
          <w:b w:val="0"/>
          <w:bCs/>
          <w:vanish w:val="0"/>
          <w:sz w:val="32"/>
          <w:szCs w:val="32"/>
        </w:rPr>
        <w:t>2022年度一般公共预算财政拨款支出308.99万元，较上年决算数增加308.99万元，增长</w:t>
      </w:r>
      <w:r>
        <w:rPr>
          <w:rFonts w:hint="eastAsia" w:ascii="宋体" w:hAnsi="宋体" w:eastAsia="方正仿宋_GBK" w:cs="方正仿宋_GBK"/>
          <w:b w:val="0"/>
          <w:bCs/>
          <w:vanish w:val="0"/>
          <w:sz w:val="32"/>
          <w:szCs w:val="32"/>
          <w:lang w:val="en-US" w:eastAsia="zh-CN"/>
        </w:rPr>
        <w:t>100</w:t>
      </w:r>
      <w:r>
        <w:rPr>
          <w:rFonts w:hint="eastAsia" w:ascii="宋体" w:hAnsi="宋体" w:eastAsia="方正仿宋_GBK" w:cs="方正仿宋_GBK"/>
          <w:b w:val="0"/>
          <w:bCs/>
          <w:vanish w:val="0"/>
          <w:sz w:val="32"/>
          <w:szCs w:val="32"/>
        </w:rPr>
        <w:t>%。主要原因是</w:t>
      </w:r>
      <w:r>
        <w:rPr>
          <w:rFonts w:hint="eastAsia" w:ascii="宋体" w:hAnsi="宋体" w:eastAsia="方正仿宋_GBK" w:cs="方正仿宋_GBK"/>
          <w:sz w:val="32"/>
          <w:szCs w:val="32"/>
          <w:shd w:val="clear" w:color="auto" w:fill="auto"/>
        </w:rPr>
        <w:t>以前年度均由科技局机关核算，</w:t>
      </w:r>
      <w:r>
        <w:rPr>
          <w:rFonts w:hint="eastAsia" w:ascii="宋体" w:hAnsi="宋体" w:eastAsia="方正仿宋_GBK" w:cs="方正仿宋_GBK"/>
          <w:vanish w:val="0"/>
          <w:sz w:val="32"/>
          <w:szCs w:val="32"/>
          <w:shd w:val="clear" w:color="auto" w:fill="auto"/>
          <w:lang w:eastAsia="zh-CN"/>
        </w:rPr>
        <w:t>本年度本部门独立核算</w:t>
      </w:r>
      <w:r>
        <w:rPr>
          <w:rFonts w:hint="eastAsia" w:ascii="宋体" w:hAnsi="宋体" w:eastAsia="方正仿宋_GBK" w:cs="方正仿宋_GBK"/>
          <w:b w:val="0"/>
          <w:bCs/>
          <w:vanish w:val="0"/>
          <w:color w:val="auto"/>
          <w:sz w:val="32"/>
          <w:szCs w:val="32"/>
        </w:rPr>
        <w:t>。</w:t>
      </w:r>
      <w:r>
        <w:rPr>
          <w:rFonts w:hint="eastAsia" w:ascii="宋体" w:hAnsi="宋体" w:eastAsia="方正仿宋_GBK" w:cs="方正仿宋_GBK"/>
          <w:b w:val="0"/>
          <w:bCs/>
          <w:vanish w:val="0"/>
          <w:sz w:val="32"/>
          <w:szCs w:val="32"/>
        </w:rPr>
        <w:t>较年初预算数减少29.32万元，下降8.7%。主要原因是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Style w:val="10"/>
          <w:rFonts w:hint="eastAsia" w:ascii="宋体" w:hAnsi="宋体" w:eastAsia="宋体" w:cs="宋体"/>
          <w:b w:val="0"/>
          <w:bCs/>
          <w:vanish w:val="0"/>
          <w:sz w:val="32"/>
          <w:szCs w:val="32"/>
        </w:rPr>
        <w:t>3.</w:t>
      </w:r>
      <w:r>
        <w:rPr>
          <w:rStyle w:val="10"/>
          <w:rFonts w:hint="eastAsia" w:ascii="宋体" w:hAnsi="宋体" w:eastAsia="方正仿宋_GBK" w:cs="方正仿宋_GBK"/>
          <w:b w:val="0"/>
          <w:bCs/>
          <w:vanish w:val="0"/>
          <w:sz w:val="32"/>
          <w:szCs w:val="32"/>
        </w:rPr>
        <w:t>结转结余情况。</w:t>
      </w:r>
      <w:r>
        <w:rPr>
          <w:rFonts w:hint="eastAsia" w:ascii="宋体" w:hAnsi="宋体" w:eastAsia="方正仿宋_GBK" w:cs="方正仿宋_GBK"/>
          <w:b w:val="0"/>
          <w:bCs/>
          <w:vanish w:val="0"/>
          <w:sz w:val="32"/>
          <w:szCs w:val="32"/>
        </w:rPr>
        <w:t>2022年度年末一般公共预算财政拨款结转和结余0.00万元</w:t>
      </w:r>
      <w:r>
        <w:rPr>
          <w:rFonts w:hint="eastAsia" w:ascii="宋体"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仿宋_GBK" w:cs="方正仿宋_GBK"/>
          <w:b w:val="0"/>
          <w:bCs/>
          <w:vanish w:val="0"/>
          <w:sz w:val="32"/>
          <w:szCs w:val="32"/>
        </w:rPr>
        <w:t>4.比较情况。</w:t>
      </w:r>
      <w:r>
        <w:rPr>
          <w:rFonts w:hint="eastAsia" w:ascii="宋体" w:hAnsi="宋体" w:eastAsia="方正仿宋_GBK" w:cs="方正仿宋_GBK"/>
          <w:b w:val="0"/>
          <w:bCs/>
          <w:vanish w:val="0"/>
          <w:sz w:val="32"/>
          <w:szCs w:val="32"/>
        </w:rPr>
        <w:t>本部门2022年度一般公共预算财政拨款支出主要用于以下几个方面：</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Fonts w:hint="eastAsia" w:ascii="宋体" w:hAnsi="宋体" w:eastAsia="方正仿宋_GBK" w:cs="方正仿宋_GBK"/>
          <w:b w:val="0"/>
          <w:bCs/>
          <w:vanish w:val="0"/>
          <w:sz w:val="32"/>
          <w:szCs w:val="32"/>
        </w:rPr>
        <w:t>（</w:t>
      </w:r>
      <w:r>
        <w:rPr>
          <w:rFonts w:hint="eastAsia" w:ascii="宋体" w:hAnsi="宋体" w:eastAsia="方正仿宋_GBK" w:cs="方正仿宋_GBK"/>
          <w:b w:val="0"/>
          <w:bCs/>
          <w:vanish w:val="0"/>
          <w:sz w:val="32"/>
          <w:szCs w:val="32"/>
          <w:lang w:val="en-US" w:eastAsia="zh-CN"/>
        </w:rPr>
        <w:t>1</w:t>
      </w:r>
      <w:r>
        <w:rPr>
          <w:rFonts w:hint="eastAsia" w:ascii="宋体" w:hAnsi="宋体" w:eastAsia="方正仿宋_GBK" w:cs="方正仿宋_GBK"/>
          <w:b w:val="0"/>
          <w:bCs/>
          <w:vanish w:val="0"/>
          <w:sz w:val="32"/>
          <w:szCs w:val="32"/>
        </w:rPr>
        <w:t>）教育支出1.32万元，占0.4%，较年初预算数</w:t>
      </w:r>
      <w:r>
        <w:rPr>
          <w:rFonts w:hint="eastAsia" w:ascii="宋体" w:hAnsi="宋体" w:eastAsia="方正仿宋_GBK" w:cs="方正仿宋_GBK"/>
          <w:b w:val="0"/>
          <w:bCs/>
          <w:vanish w:val="0"/>
          <w:sz w:val="32"/>
          <w:szCs w:val="32"/>
          <w:lang w:eastAsia="zh-CN"/>
        </w:rPr>
        <w:t>持平</w:t>
      </w:r>
      <w:r>
        <w:rPr>
          <w:rFonts w:hint="eastAsia"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hAnsi="宋体" w:eastAsia="方正仿宋_GBK" w:cs="方正仿宋_GBK"/>
          <w:vanish w:val="0"/>
          <w:sz w:val="32"/>
          <w:szCs w:val="32"/>
          <w:shd w:val="clear" w:color="auto" w:fill="auto"/>
          <w:lang w:eastAsia="zh-CN"/>
        </w:rPr>
      </w:pPr>
      <w:r>
        <w:rPr>
          <w:rFonts w:hint="eastAsia" w:ascii="宋体" w:hAnsi="宋体" w:eastAsia="方正仿宋_GBK" w:cs="方正仿宋_GBK"/>
          <w:b w:val="0"/>
          <w:bCs/>
          <w:vanish w:val="0"/>
          <w:sz w:val="32"/>
          <w:szCs w:val="32"/>
        </w:rPr>
        <w:t>（</w:t>
      </w:r>
      <w:r>
        <w:rPr>
          <w:rFonts w:hint="eastAsia" w:ascii="宋体" w:hAnsi="宋体" w:eastAsia="方正仿宋_GBK" w:cs="方正仿宋_GBK"/>
          <w:b w:val="0"/>
          <w:bCs/>
          <w:vanish w:val="0"/>
          <w:sz w:val="32"/>
          <w:szCs w:val="32"/>
          <w:lang w:val="en-US" w:eastAsia="zh-CN"/>
        </w:rPr>
        <w:t>2</w:t>
      </w:r>
      <w:r>
        <w:rPr>
          <w:rFonts w:hint="eastAsia" w:ascii="宋体" w:hAnsi="宋体" w:eastAsia="方正仿宋_GBK" w:cs="方正仿宋_GBK"/>
          <w:b w:val="0"/>
          <w:bCs/>
          <w:vanish w:val="0"/>
          <w:sz w:val="32"/>
          <w:szCs w:val="32"/>
        </w:rPr>
        <w:t>）科学技术支出263.31万元，占85.2%，较年初预算数减少29.32万元，下降10%，主要原因是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Fonts w:hint="eastAsia" w:ascii="宋体" w:hAnsi="宋体" w:eastAsia="方正仿宋_GBK" w:cs="方正仿宋_GBK"/>
          <w:b w:val="0"/>
          <w:bCs/>
          <w:vanish w:val="0"/>
          <w:sz w:val="32"/>
          <w:szCs w:val="32"/>
        </w:rPr>
        <w:t>（</w:t>
      </w:r>
      <w:r>
        <w:rPr>
          <w:rFonts w:hint="eastAsia" w:ascii="宋体" w:hAnsi="宋体" w:eastAsia="方正仿宋_GBK" w:cs="方正仿宋_GBK"/>
          <w:b w:val="0"/>
          <w:bCs/>
          <w:vanish w:val="0"/>
          <w:sz w:val="32"/>
          <w:szCs w:val="32"/>
          <w:lang w:val="en-US" w:eastAsia="zh-CN"/>
        </w:rPr>
        <w:t>3</w:t>
      </w:r>
      <w:r>
        <w:rPr>
          <w:rFonts w:hint="eastAsia" w:ascii="宋体" w:hAnsi="宋体" w:eastAsia="方正仿宋_GBK" w:cs="方正仿宋_GBK"/>
          <w:b w:val="0"/>
          <w:bCs/>
          <w:vanish w:val="0"/>
          <w:sz w:val="32"/>
          <w:szCs w:val="32"/>
        </w:rPr>
        <w:t>）社会保障与就业支出21.13万元，占6.8%，较年初预算数</w:t>
      </w:r>
      <w:r>
        <w:rPr>
          <w:rFonts w:hint="eastAsia" w:ascii="宋体" w:hAnsi="宋体" w:eastAsia="方正仿宋_GBK" w:cs="方正仿宋_GBK"/>
          <w:b w:val="0"/>
          <w:bCs/>
          <w:vanish w:val="0"/>
          <w:sz w:val="32"/>
          <w:szCs w:val="32"/>
          <w:lang w:eastAsia="zh-CN"/>
        </w:rPr>
        <w:t>持平</w:t>
      </w:r>
      <w:r>
        <w:rPr>
          <w:rFonts w:hint="eastAsia"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vanish w:val="0"/>
          <w:sz w:val="32"/>
          <w:szCs w:val="32"/>
        </w:rPr>
        <w:t>（</w:t>
      </w:r>
      <w:r>
        <w:rPr>
          <w:rFonts w:hint="eastAsia" w:ascii="宋体" w:hAnsi="宋体" w:eastAsia="方正仿宋_GBK" w:cs="方正仿宋_GBK"/>
          <w:b w:val="0"/>
          <w:bCs/>
          <w:vanish w:val="0"/>
          <w:sz w:val="32"/>
          <w:szCs w:val="32"/>
          <w:lang w:val="en-US" w:eastAsia="zh-CN"/>
        </w:rPr>
        <w:t>4</w:t>
      </w:r>
      <w:r>
        <w:rPr>
          <w:rFonts w:hint="eastAsia" w:ascii="宋体" w:hAnsi="宋体" w:eastAsia="方正仿宋_GBK" w:cs="方正仿宋_GBK"/>
          <w:b w:val="0"/>
          <w:bCs/>
          <w:vanish w:val="0"/>
          <w:sz w:val="32"/>
          <w:szCs w:val="32"/>
        </w:rPr>
        <w:t>）卫生健康支出12.67万元，占4.1%，较年初预算数</w:t>
      </w:r>
      <w:r>
        <w:rPr>
          <w:rFonts w:hint="eastAsia" w:ascii="宋体" w:hAnsi="宋体" w:eastAsia="方正仿宋_GBK" w:cs="方正仿宋_GBK"/>
          <w:b w:val="0"/>
          <w:bCs/>
          <w:vanish w:val="0"/>
          <w:sz w:val="32"/>
          <w:szCs w:val="32"/>
          <w:lang w:eastAsia="zh-CN"/>
        </w:rPr>
        <w:t>持平</w:t>
      </w:r>
      <w:r>
        <w:rPr>
          <w:rFonts w:hint="eastAsia"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Fonts w:hint="eastAsia" w:ascii="宋体" w:hAnsi="宋体" w:eastAsia="方正仿宋_GBK" w:cs="方正仿宋_GBK"/>
          <w:b w:val="0"/>
          <w:bCs/>
          <w:vanish w:val="0"/>
          <w:sz w:val="32"/>
          <w:szCs w:val="32"/>
        </w:rPr>
        <w:t>（</w:t>
      </w:r>
      <w:r>
        <w:rPr>
          <w:rFonts w:hint="eastAsia" w:ascii="宋体" w:hAnsi="宋体" w:eastAsia="方正仿宋_GBK" w:cs="方正仿宋_GBK"/>
          <w:b w:val="0"/>
          <w:bCs/>
          <w:vanish w:val="0"/>
          <w:sz w:val="32"/>
          <w:szCs w:val="32"/>
          <w:lang w:val="en-US" w:eastAsia="zh-CN"/>
        </w:rPr>
        <w:t>5</w:t>
      </w:r>
      <w:r>
        <w:rPr>
          <w:rFonts w:hint="eastAsia" w:ascii="宋体" w:hAnsi="宋体" w:eastAsia="方正仿宋_GBK" w:cs="方正仿宋_GBK"/>
          <w:b w:val="0"/>
          <w:bCs/>
          <w:vanish w:val="0"/>
          <w:sz w:val="32"/>
          <w:szCs w:val="32"/>
        </w:rPr>
        <w:t>）住房保障支出10.56万元，占3.4%，较年初预算数</w:t>
      </w:r>
      <w:r>
        <w:rPr>
          <w:rFonts w:hint="eastAsia" w:ascii="宋体" w:hAnsi="宋体" w:eastAsia="方正仿宋_GBK" w:cs="方正仿宋_GBK"/>
          <w:b w:val="0"/>
          <w:bCs/>
          <w:vanish w:val="0"/>
          <w:sz w:val="32"/>
          <w:szCs w:val="32"/>
          <w:lang w:eastAsia="zh-CN"/>
        </w:rPr>
        <w:t>持平</w:t>
      </w:r>
      <w:r>
        <w:rPr>
          <w:rFonts w:hint="eastAsia"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（四）一般公共预算财政拨款基本支出决算情况说明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vanish w:val="0"/>
          <w:sz w:val="32"/>
          <w:szCs w:val="32"/>
        </w:rPr>
        <w:t>2022年度一般公共预算财政拨款基本支出246.99万元。其中：人员经费203.58万元，较上年决算数增加203.58万元，增长%，主要原因是</w:t>
      </w:r>
      <w:r>
        <w:rPr>
          <w:rFonts w:hint="eastAsia" w:ascii="宋体" w:hAnsi="宋体" w:eastAsia="方正仿宋_GBK" w:cs="方正仿宋_GBK"/>
          <w:b w:val="0"/>
          <w:bCs/>
          <w:sz w:val="32"/>
          <w:szCs w:val="32"/>
        </w:rPr>
        <w:t>以前年度均由科技局机关核算，本年度单独核算</w:t>
      </w:r>
      <w:r>
        <w:rPr>
          <w:rFonts w:hint="eastAsia" w:ascii="宋体" w:hAnsi="宋体" w:eastAsia="方正仿宋_GBK" w:cs="方正仿宋_GBK"/>
          <w:b w:val="0"/>
          <w:bCs/>
          <w:vanish w:val="0"/>
          <w:color w:val="auto"/>
          <w:sz w:val="32"/>
          <w:szCs w:val="32"/>
        </w:rPr>
        <w:t>。</w:t>
      </w:r>
      <w:r>
        <w:rPr>
          <w:rFonts w:hint="eastAsia" w:ascii="宋体" w:hAnsi="宋体" w:eastAsia="方正仿宋_GBK" w:cs="方正仿宋_GBK"/>
          <w:b w:val="0"/>
          <w:bCs/>
          <w:vanish w:val="0"/>
          <w:sz w:val="32"/>
          <w:szCs w:val="32"/>
        </w:rPr>
        <w:t>人员经费用途主要包括</w:t>
      </w:r>
      <w:r>
        <w:rPr>
          <w:rFonts w:hint="eastAsia" w:ascii="宋体" w:hAnsi="宋体" w:eastAsia="方正仿宋_GBK" w:cs="方正仿宋_GBK"/>
          <w:b w:val="0"/>
          <w:bCs/>
          <w:i w:val="0"/>
          <w:iCs w:val="0"/>
          <w:caps w:val="0"/>
          <w:color w:val="000000"/>
          <w:spacing w:val="0"/>
          <w:sz w:val="32"/>
          <w:szCs w:val="32"/>
          <w:shd w:val="clear" w:fill="FFFFFF"/>
        </w:rPr>
        <w:t>人员工资、住房公积金、养老保险、职业年金、医疗保</w:t>
      </w:r>
      <w:r>
        <w:rPr>
          <w:rFonts w:hint="eastAsia" w:ascii="宋体" w:hAnsi="宋体" w:eastAsia="方正仿宋_GBK" w:cs="方正仿宋_GBK"/>
          <w:b w:val="0"/>
          <w:bCs/>
          <w:i w:val="0"/>
          <w:iCs w:val="0"/>
          <w:caps w:val="0"/>
          <w:color w:val="auto"/>
          <w:spacing w:val="0"/>
          <w:sz w:val="32"/>
          <w:szCs w:val="32"/>
          <w:shd w:val="clear" w:fill="FFFFFF"/>
        </w:rPr>
        <w:t>险等</w:t>
      </w:r>
      <w:r>
        <w:rPr>
          <w:rFonts w:hint="eastAsia" w:ascii="宋体" w:hAnsi="宋体" w:eastAsia="方正仿宋_GBK" w:cs="方正仿宋_GBK"/>
          <w:b w:val="0"/>
          <w:bCs/>
          <w:vanish w:val="0"/>
          <w:color w:val="auto"/>
          <w:sz w:val="32"/>
          <w:szCs w:val="32"/>
        </w:rPr>
        <w:t>。公用经费43.41万元，较上年决算数增加43.41万元，增长</w:t>
      </w:r>
      <w:r>
        <w:rPr>
          <w:rFonts w:hint="eastAsia" w:hAnsi="宋体" w:eastAsia="方正仿宋_GBK" w:cs="方正仿宋_GBK"/>
          <w:b w:val="0"/>
          <w:bCs/>
          <w:vanish w:val="0"/>
          <w:color w:val="auto"/>
          <w:sz w:val="32"/>
          <w:szCs w:val="32"/>
          <w:lang w:val="en-US" w:eastAsia="zh-CN"/>
        </w:rPr>
        <w:t>100</w:t>
      </w:r>
      <w:r>
        <w:rPr>
          <w:rFonts w:hint="eastAsia" w:ascii="宋体" w:hAnsi="宋体" w:eastAsia="方正仿宋_GBK" w:cs="方正仿宋_GBK"/>
          <w:b w:val="0"/>
          <w:bCs/>
          <w:vanish w:val="0"/>
          <w:color w:val="auto"/>
          <w:sz w:val="32"/>
          <w:szCs w:val="32"/>
        </w:rPr>
        <w:t>%，主要原因是</w:t>
      </w:r>
      <w:r>
        <w:rPr>
          <w:rFonts w:hint="eastAsia" w:ascii="宋体" w:hAnsi="宋体" w:eastAsia="方正仿宋_GBK" w:cs="方正仿宋_GBK"/>
          <w:b w:val="0"/>
          <w:bCs/>
          <w:color w:val="auto"/>
          <w:sz w:val="32"/>
          <w:szCs w:val="32"/>
        </w:rPr>
        <w:t>以前年度均由科技局机关核算，本年度单独核算</w:t>
      </w:r>
      <w:r>
        <w:rPr>
          <w:rFonts w:hint="eastAsia" w:ascii="宋体" w:hAnsi="宋体" w:eastAsia="方正仿宋_GBK" w:cs="方正仿宋_GBK"/>
          <w:b w:val="0"/>
          <w:bCs/>
          <w:vanish w:val="0"/>
          <w:color w:val="auto"/>
          <w:sz w:val="32"/>
          <w:szCs w:val="32"/>
        </w:rPr>
        <w:t>。公用经费用途</w:t>
      </w:r>
      <w:r>
        <w:rPr>
          <w:rFonts w:hint="eastAsia" w:ascii="宋体" w:hAnsi="宋体" w:eastAsia="方正仿宋_GBK" w:cs="方正仿宋_GBK"/>
          <w:b w:val="0"/>
          <w:bCs/>
          <w:vanish w:val="0"/>
          <w:sz w:val="32"/>
          <w:szCs w:val="32"/>
        </w:rPr>
        <w:t>主要包括</w:t>
      </w:r>
      <w:r>
        <w:rPr>
          <w:rFonts w:hint="eastAsia" w:ascii="宋体" w:hAnsi="宋体" w:eastAsia="方正仿宋_GBK" w:cs="方正仿宋_GBK"/>
          <w:b w:val="0"/>
          <w:bCs/>
          <w:i w:val="0"/>
          <w:iCs w:val="0"/>
          <w:caps w:val="0"/>
          <w:color w:val="auto"/>
          <w:spacing w:val="0"/>
          <w:sz w:val="32"/>
          <w:szCs w:val="32"/>
          <w:vertAlign w:val="baseline"/>
        </w:rPr>
        <w:t>办公费、印刷费、通信费、物业费、水电费、会议费、培训费、差旅费、接待费、劳务费、交通费等。</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（五）政府性基金预算收支决算情况说明</w:t>
      </w:r>
      <w:r>
        <w:rPr>
          <w:rStyle w:val="10"/>
          <w:rFonts w:hint="eastAsia" w:ascii="宋体" w:hAnsi="宋体" w:eastAsia="方正仿宋_GBK" w:cs="方正仿宋_GBK"/>
          <w:b w:val="0"/>
          <w:bCs/>
          <w:vanish w:val="0"/>
          <w:sz w:val="32"/>
          <w:szCs w:val="32"/>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i w:val="0"/>
          <w:iCs w:val="0"/>
          <w:caps w:val="0"/>
          <w:color w:val="auto"/>
          <w:spacing w:val="0"/>
          <w:sz w:val="32"/>
          <w:szCs w:val="32"/>
          <w:vertAlign w:val="baseline"/>
        </w:rPr>
        <w:t>本部门2022年度无政府性基金预算财政拨款收支。</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（六）国有资本经营预算财政拨款支出决算情况说明。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i w:val="0"/>
          <w:iCs w:val="0"/>
          <w:caps w:val="0"/>
          <w:color w:val="auto"/>
          <w:spacing w:val="0"/>
          <w:sz w:val="32"/>
          <w:szCs w:val="32"/>
          <w:vertAlign w:val="baseline"/>
        </w:rPr>
        <w:t>本部门2022年度无国有资本经营预算财政拨款支出。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黑体_GBK" w:cs="方正黑体_GBK"/>
          <w:b w:val="0"/>
          <w:bCs/>
          <w:vanish w:val="0"/>
          <w:sz w:val="32"/>
          <w:szCs w:val="32"/>
        </w:rPr>
        <w:t>三、“三公”经费情况说明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（一）“三公”经费支出总体情况说明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Fonts w:hint="eastAsia" w:ascii="宋体" w:hAnsi="宋体" w:eastAsia="方正仿宋_GBK" w:cs="方正仿宋_GBK"/>
          <w:b w:val="0"/>
          <w:bCs/>
          <w:vanish w:val="0"/>
          <w:sz w:val="32"/>
          <w:szCs w:val="32"/>
        </w:rPr>
        <w:t>2022年度“三公”经费支出共计0.00万元</w:t>
      </w:r>
      <w:r>
        <w:rPr>
          <w:rFonts w:hint="eastAsia" w:ascii="宋体"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（二）“三公”经费分项支出情况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lang w:eastAsia="zh-CN"/>
        </w:rPr>
      </w:pPr>
      <w:r>
        <w:rPr>
          <w:rFonts w:hint="eastAsia" w:ascii="宋体" w:hAnsi="宋体" w:eastAsia="方正仿宋_GBK" w:cs="方正仿宋_GBK"/>
          <w:b w:val="0"/>
          <w:bCs/>
          <w:vanish w:val="0"/>
          <w:sz w:val="32"/>
          <w:szCs w:val="32"/>
        </w:rPr>
        <w:t>2022年度本部门因公出国（境）费用0.00万元，公务车购置费0.00万元，公务车运行维护费0.00万元，公务接待费0.00万元</w:t>
      </w:r>
      <w:r>
        <w:rPr>
          <w:rFonts w:hint="eastAsia" w:ascii="宋体" w:hAnsi="宋体" w:eastAsia="方正仿宋_GBK" w:cs="方正仿宋_GBK"/>
          <w:b w:val="0"/>
          <w:bCs/>
          <w:vanish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（三）“三公”经费实物量情况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vanish w:val="0"/>
          <w:sz w:val="32"/>
          <w:szCs w:val="32"/>
        </w:rPr>
        <w:t>2022年度本部门因公出国（境）共计0个团组，0人；公务用车购置0辆，公务车保有量为0辆；国内公务接待0批次0人，其中：国内外事接待0批次，0人；国（境）外公务接待0批次，0人。2022年本部门人均接待费0.00元，车均购置费0.00万元，车均维护费0.00万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b w:val="0"/>
          <w:bCs/>
          <w:vanish w:val="0"/>
          <w:sz w:val="32"/>
          <w:szCs w:val="32"/>
        </w:rPr>
      </w:pPr>
      <w:r>
        <w:rPr>
          <w:rStyle w:val="10"/>
          <w:rFonts w:hint="eastAsia" w:ascii="宋体" w:hAnsi="宋体" w:eastAsia="方正黑体_GBK" w:cs="方正黑体_GBK"/>
          <w:b w:val="0"/>
          <w:bCs/>
          <w:vanish w:val="0"/>
          <w:sz w:val="32"/>
          <w:szCs w:val="32"/>
        </w:rPr>
        <w:t>四、其他需要说明的事项</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（一）机关运行经费支出情况说明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i w:val="0"/>
          <w:iCs w:val="0"/>
          <w:caps w:val="0"/>
          <w:color w:val="auto"/>
          <w:spacing w:val="0"/>
          <w:sz w:val="32"/>
          <w:szCs w:val="32"/>
          <w:vertAlign w:val="baseline"/>
        </w:rPr>
      </w:pPr>
      <w:r>
        <w:rPr>
          <w:rFonts w:hint="eastAsia" w:ascii="宋体" w:hAnsi="宋体" w:eastAsia="方正仿宋_GBK" w:cs="方正仿宋_GBK"/>
          <w:b w:val="0"/>
          <w:bCs/>
          <w:i w:val="0"/>
          <w:iCs w:val="0"/>
          <w:caps w:val="0"/>
          <w:color w:val="auto"/>
          <w:spacing w:val="0"/>
          <w:sz w:val="32"/>
          <w:szCs w:val="32"/>
          <w:vertAlign w:val="baseline"/>
        </w:rPr>
        <w:t>按照部门决算列报口径，我单位不在机关运行经费统计范围之内。</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（二）国有资产占用情况说明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vanish w:val="0"/>
          <w:sz w:val="32"/>
          <w:szCs w:val="32"/>
        </w:rPr>
        <w:t>截至2022年12月31日，本部门共有车辆0辆，单价100万元（含）以上设备（不含车辆）0台（套）。</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（三）政府采购支出说明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i w:val="0"/>
          <w:iCs w:val="0"/>
          <w:caps w:val="0"/>
          <w:color w:val="auto"/>
          <w:spacing w:val="0"/>
          <w:sz w:val="32"/>
          <w:szCs w:val="32"/>
          <w:vertAlign w:val="baseline"/>
          <w:lang w:val="en-US" w:eastAsia="zh-CN"/>
        </w:rPr>
        <w:t>2</w:t>
      </w:r>
      <w:r>
        <w:rPr>
          <w:rFonts w:hint="eastAsia" w:ascii="宋体" w:hAnsi="宋体" w:eastAsia="方正仿宋_GBK" w:cs="方正仿宋_GBK"/>
          <w:b w:val="0"/>
          <w:bCs/>
          <w:i w:val="0"/>
          <w:iCs w:val="0"/>
          <w:caps w:val="0"/>
          <w:color w:val="auto"/>
          <w:spacing w:val="0"/>
          <w:sz w:val="32"/>
          <w:szCs w:val="32"/>
          <w:vertAlign w:val="baseline"/>
        </w:rPr>
        <w:t>022年度我单位未发生政府采购事项，无相关经费支出。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b w:val="0"/>
          <w:bCs/>
          <w:vanish w:val="0"/>
          <w:sz w:val="32"/>
          <w:szCs w:val="32"/>
        </w:rPr>
      </w:pPr>
      <w:r>
        <w:rPr>
          <w:rStyle w:val="10"/>
          <w:rFonts w:hint="eastAsia" w:ascii="宋体" w:hAnsi="宋体" w:eastAsia="方正黑体_GBK" w:cs="方正黑体_GBK"/>
          <w:b w:val="0"/>
          <w:bCs/>
          <w:vanish w:val="0"/>
          <w:sz w:val="32"/>
          <w:szCs w:val="32"/>
        </w:rPr>
        <w:t>五、预算绩效管理情况说明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（一）预算绩效管理工作开展情况</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z w:val="32"/>
          <w:szCs w:val="32"/>
          <w:shd w:val="clear" w:color="auto" w:fill="auto"/>
        </w:rPr>
      </w:pPr>
      <w:r>
        <w:rPr>
          <w:rFonts w:hint="eastAsia" w:ascii="宋体" w:hAnsi="宋体" w:eastAsia="方正仿宋_GBK" w:cs="方正仿宋_GBK"/>
          <w:vanish w:val="0"/>
          <w:sz w:val="32"/>
          <w:szCs w:val="32"/>
          <w:shd w:val="clear" w:color="auto" w:fill="auto"/>
        </w:rPr>
        <w:t>根据预算绩效管理要求，</w:t>
      </w:r>
      <w:r>
        <w:rPr>
          <w:rFonts w:hint="eastAsia" w:ascii="宋体" w:hAnsi="宋体" w:eastAsia="方正仿宋_GBK" w:cs="方正仿宋_GBK"/>
          <w:i w:val="0"/>
          <w:iCs w:val="0"/>
          <w:caps w:val="0"/>
          <w:spacing w:val="0"/>
          <w:sz w:val="32"/>
          <w:szCs w:val="32"/>
          <w:shd w:val="clear" w:color="auto" w:fill="auto"/>
        </w:rPr>
        <w:t>根据预算绩效管理要求，</w:t>
      </w:r>
      <w:r>
        <w:rPr>
          <w:rFonts w:hint="eastAsia" w:hAnsi="宋体" w:eastAsia="方正仿宋_GBK" w:cs="方正仿宋_GBK"/>
          <w:i w:val="0"/>
          <w:iCs w:val="0"/>
          <w:caps w:val="0"/>
          <w:spacing w:val="0"/>
          <w:sz w:val="32"/>
          <w:szCs w:val="32"/>
          <w:shd w:val="clear" w:color="auto" w:fill="auto"/>
          <w:lang w:eastAsia="zh-CN"/>
        </w:rPr>
        <w:t>本部门</w:t>
      </w:r>
      <w:r>
        <w:rPr>
          <w:rFonts w:hint="eastAsia" w:ascii="宋体" w:hAnsi="宋体" w:eastAsia="方正仿宋_GBK" w:cs="方正仿宋_GBK"/>
          <w:i w:val="0"/>
          <w:iCs w:val="0"/>
          <w:caps w:val="0"/>
          <w:spacing w:val="0"/>
          <w:sz w:val="32"/>
          <w:szCs w:val="32"/>
          <w:shd w:val="clear" w:color="auto" w:fill="auto"/>
        </w:rPr>
        <w:t>对</w:t>
      </w:r>
      <w:r>
        <w:rPr>
          <w:rFonts w:hint="eastAsia" w:hAnsi="宋体" w:eastAsia="方正仿宋_GBK" w:cs="方正仿宋_GBK"/>
          <w:i w:val="0"/>
          <w:iCs w:val="0"/>
          <w:caps w:val="0"/>
          <w:spacing w:val="0"/>
          <w:sz w:val="32"/>
          <w:szCs w:val="32"/>
          <w:shd w:val="clear" w:color="auto" w:fill="auto"/>
          <w:lang w:val="en-US" w:eastAsia="zh-CN"/>
        </w:rPr>
        <w:t>1</w:t>
      </w:r>
      <w:r>
        <w:rPr>
          <w:rFonts w:hint="eastAsia" w:ascii="宋体" w:hAnsi="宋体" w:eastAsia="方正仿宋_GBK" w:cs="方正仿宋_GBK"/>
          <w:i w:val="0"/>
          <w:iCs w:val="0"/>
          <w:caps w:val="0"/>
          <w:spacing w:val="0"/>
          <w:sz w:val="32"/>
          <w:szCs w:val="32"/>
          <w:shd w:val="clear" w:color="auto" w:fill="auto"/>
        </w:rPr>
        <w:t>个项目开展了绩效自评，</w:t>
      </w:r>
      <w:r>
        <w:rPr>
          <w:rFonts w:hint="eastAsia" w:hAnsi="宋体" w:eastAsia="方正仿宋_GBK" w:cs="方正仿宋_GBK"/>
          <w:i w:val="0"/>
          <w:iCs w:val="0"/>
          <w:caps w:val="0"/>
          <w:spacing w:val="0"/>
          <w:sz w:val="32"/>
          <w:szCs w:val="32"/>
          <w:shd w:val="clear" w:color="auto" w:fill="auto"/>
          <w:lang w:eastAsia="zh-CN"/>
        </w:rPr>
        <w:t>主要</w:t>
      </w:r>
      <w:r>
        <w:rPr>
          <w:rFonts w:hint="eastAsia" w:ascii="宋体" w:hAnsi="宋体" w:eastAsia="方正仿宋_GBK" w:cs="方正仿宋_GBK"/>
          <w:i w:val="0"/>
          <w:iCs w:val="0"/>
          <w:caps w:val="0"/>
          <w:spacing w:val="0"/>
          <w:sz w:val="32"/>
          <w:szCs w:val="32"/>
          <w:shd w:val="clear" w:color="auto" w:fill="auto"/>
        </w:rPr>
        <w:t>以填报目标自评表形式开展自评</w:t>
      </w:r>
      <w:r>
        <w:rPr>
          <w:rFonts w:hint="eastAsia" w:hAnsi="宋体" w:eastAsia="方正仿宋_GBK" w:cs="方正仿宋_GBK"/>
          <w:i w:val="0"/>
          <w:iCs w:val="0"/>
          <w:caps w:val="0"/>
          <w:spacing w:val="0"/>
          <w:sz w:val="32"/>
          <w:szCs w:val="32"/>
          <w:shd w:val="clear" w:color="auto" w:fill="auto"/>
          <w:lang w:val="en-US" w:eastAsia="zh-CN"/>
        </w:rPr>
        <w:t>1</w:t>
      </w:r>
      <w:r>
        <w:rPr>
          <w:rFonts w:hint="eastAsia" w:ascii="宋体" w:hAnsi="宋体" w:eastAsia="方正仿宋_GBK" w:cs="方正仿宋_GBK"/>
          <w:i w:val="0"/>
          <w:iCs w:val="0"/>
          <w:caps w:val="0"/>
          <w:spacing w:val="0"/>
          <w:sz w:val="32"/>
          <w:szCs w:val="32"/>
          <w:shd w:val="clear" w:color="auto" w:fill="auto"/>
        </w:rPr>
        <w:t>项，涉及资金</w:t>
      </w:r>
      <w:r>
        <w:rPr>
          <w:rFonts w:hint="eastAsia" w:hAnsi="宋体" w:eastAsia="方正仿宋_GBK" w:cs="方正仿宋_GBK"/>
          <w:i w:val="0"/>
          <w:iCs w:val="0"/>
          <w:caps w:val="0"/>
          <w:spacing w:val="0"/>
          <w:sz w:val="32"/>
          <w:szCs w:val="32"/>
          <w:shd w:val="clear" w:color="auto" w:fill="auto"/>
          <w:lang w:val="en-US" w:eastAsia="zh-CN"/>
        </w:rPr>
        <w:t>62</w:t>
      </w:r>
      <w:r>
        <w:rPr>
          <w:rFonts w:hint="eastAsia" w:ascii="宋体" w:hAnsi="宋体" w:eastAsia="方正仿宋_GBK" w:cs="方正仿宋_GBK"/>
          <w:i w:val="0"/>
          <w:iCs w:val="0"/>
          <w:caps w:val="0"/>
          <w:spacing w:val="0"/>
          <w:sz w:val="32"/>
          <w:szCs w:val="32"/>
          <w:shd w:val="clear" w:color="auto" w:fill="auto"/>
        </w:rPr>
        <w:t>万元。</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楷体_GBK" w:cs="方正楷体_GBK"/>
          <w:b w:val="0"/>
          <w:bCs/>
          <w:vanish w:val="0"/>
          <w:sz w:val="32"/>
          <w:szCs w:val="32"/>
        </w:rPr>
      </w:pPr>
    </w:p>
    <w:p>
      <w:pPr>
        <w:pStyle w:val="11"/>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lang w:val="en-US" w:eastAsia="zh-CN"/>
        </w:rPr>
      </w:pPr>
    </w:p>
    <w:p>
      <w:pPr>
        <w:pStyle w:val="11"/>
        <w:tabs>
          <w:tab w:val="center" w:pos="4153"/>
          <w:tab w:val="left" w:pos="7275"/>
        </w:tabs>
        <w:spacing w:line="600" w:lineRule="exact"/>
        <w:ind w:firstLine="0" w:firstLineChars="0"/>
        <w:jc w:val="both"/>
        <w:rPr>
          <w:rFonts w:hint="eastAsia" w:ascii="宋体" w:hAnsi="宋体" w:eastAsia="方正小标宋_GBK" w:cs="宋体"/>
          <w:color w:val="000000"/>
          <w:kern w:val="0"/>
          <w:sz w:val="36"/>
          <w:szCs w:val="36"/>
          <w:shd w:val="clear" w:color="auto" w:fill="auto"/>
          <w:lang w:val="en-US" w:eastAsia="zh-CN"/>
        </w:rPr>
      </w:pPr>
    </w:p>
    <w:p>
      <w:pPr>
        <w:pStyle w:val="11"/>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lang w:val="en-US" w:eastAsia="zh-CN"/>
        </w:rPr>
      </w:pPr>
    </w:p>
    <w:p>
      <w:pPr>
        <w:pStyle w:val="11"/>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rPr>
      </w:pPr>
      <w:r>
        <w:rPr>
          <w:rFonts w:hint="eastAsia" w:ascii="宋体" w:hAnsi="宋体" w:eastAsia="方正小标宋_GBK" w:cs="宋体"/>
          <w:color w:val="000000"/>
          <w:kern w:val="0"/>
          <w:sz w:val="36"/>
          <w:szCs w:val="36"/>
          <w:shd w:val="clear" w:color="auto" w:fill="auto"/>
          <w:lang w:val="en-US" w:eastAsia="zh-CN"/>
        </w:rPr>
        <w:t>2022年度项目</w:t>
      </w:r>
      <w:r>
        <w:rPr>
          <w:rFonts w:hint="eastAsia" w:ascii="宋体" w:hAnsi="宋体" w:eastAsia="方正小标宋_GBK" w:cs="宋体"/>
          <w:color w:val="000000"/>
          <w:kern w:val="0"/>
          <w:sz w:val="36"/>
          <w:szCs w:val="36"/>
          <w:shd w:val="clear" w:color="auto" w:fill="auto"/>
        </w:rPr>
        <w:t>绩效自评表</w:t>
      </w:r>
    </w:p>
    <w:tbl>
      <w:tblPr>
        <w:tblStyle w:val="8"/>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342"/>
        <w:gridCol w:w="704"/>
        <w:gridCol w:w="153"/>
        <w:gridCol w:w="858"/>
        <w:gridCol w:w="1099"/>
        <w:gridCol w:w="1359"/>
        <w:gridCol w:w="993"/>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3585" w:type="dxa"/>
            <w:gridSpan w:val="6"/>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eastAsia="zh-CN"/>
              </w:rPr>
              <w:t>科技创新中心运行维护</w:t>
            </w:r>
            <w:r>
              <w:rPr>
                <w:rFonts w:hint="eastAsia" w:ascii="宋体" w:hAnsi="宋体" w:eastAsia="方正仿宋_GBK" w:cs="宋体"/>
                <w:color w:val="000000"/>
                <w:kern w:val="0"/>
                <w:sz w:val="24"/>
                <w:szCs w:val="24"/>
                <w:shd w:val="clear" w:color="auto" w:fill="auto"/>
              </w:rPr>
              <w:t>项目</w:t>
            </w:r>
          </w:p>
        </w:tc>
        <w:tc>
          <w:tcPr>
            <w:tcW w:w="1011"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自评</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总分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4689" w:type="dxa"/>
            <w:gridSpan w:val="4"/>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val="en-US" w:eastAsia="zh-CN"/>
              </w:rPr>
              <w:t>项目</w:t>
            </w:r>
            <w:r>
              <w:rPr>
                <w:rFonts w:hint="eastAsia" w:ascii="宋体" w:hAnsi="宋体" w:eastAsia="方正仿宋_GBK" w:cs="宋体"/>
                <w:color w:val="000000"/>
                <w:kern w:val="0"/>
                <w:sz w:val="24"/>
                <w:szCs w:val="24"/>
                <w:shd w:val="clear" w:color="auto" w:fill="auto"/>
              </w:rPr>
              <w:t>主管</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部门</w:t>
            </w:r>
          </w:p>
        </w:tc>
        <w:tc>
          <w:tcPr>
            <w:tcW w:w="1464"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区科技局</w:t>
            </w:r>
          </w:p>
        </w:tc>
        <w:tc>
          <w:tcPr>
            <w:tcW w:w="1075"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财政归口科室</w:t>
            </w:r>
          </w:p>
        </w:tc>
        <w:tc>
          <w:tcPr>
            <w:tcW w:w="104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教科文科</w:t>
            </w:r>
          </w:p>
        </w:tc>
        <w:tc>
          <w:tcPr>
            <w:tcW w:w="1011"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联系人</w:t>
            </w:r>
          </w:p>
        </w:tc>
        <w:tc>
          <w:tcPr>
            <w:tcW w:w="109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陈禺</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联系电话</w:t>
            </w:r>
          </w:p>
        </w:tc>
        <w:tc>
          <w:tcPr>
            <w:tcW w:w="2231" w:type="dxa"/>
            <w:gridSpan w:val="2"/>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18696679365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ind w:left="113" w:right="113"/>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项目资金（万元）</w:t>
            </w:r>
          </w:p>
        </w:tc>
        <w:tc>
          <w:tcPr>
            <w:tcW w:w="1464" w:type="dxa"/>
            <w:gridSpan w:val="2"/>
            <w:vMerge w:val="restart"/>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年度总金额</w:t>
            </w:r>
          </w:p>
        </w:tc>
        <w:tc>
          <w:tcPr>
            <w:tcW w:w="1075"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预算数</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全年（调整）预算数</w:t>
            </w:r>
          </w:p>
        </w:tc>
        <w:tc>
          <w:tcPr>
            <w:tcW w:w="2110" w:type="dxa"/>
            <w:gridSpan w:val="3"/>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全年执行数</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993"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tc>
        <w:tc>
          <w:tcPr>
            <w:tcW w:w="1238"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464" w:type="dxa"/>
            <w:gridSpan w:val="2"/>
            <w:vMerge w:val="continue"/>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p>
        </w:tc>
        <w:tc>
          <w:tcPr>
            <w:tcW w:w="1075"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62</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62</w:t>
            </w:r>
          </w:p>
        </w:tc>
        <w:tc>
          <w:tcPr>
            <w:tcW w:w="2110" w:type="dxa"/>
            <w:gridSpan w:val="3"/>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62</w:t>
            </w:r>
          </w:p>
        </w:tc>
        <w:tc>
          <w:tcPr>
            <w:tcW w:w="1359"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p>
        </w:tc>
        <w:tc>
          <w:tcPr>
            <w:tcW w:w="993" w:type="dxa"/>
            <w:tcBorders>
              <w:tl2br w:val="nil"/>
              <w:tr2bl w:val="nil"/>
            </w:tcBorders>
            <w:noWrap w:val="0"/>
            <w:vAlign w:val="center"/>
          </w:tcPr>
          <w:p>
            <w:pPr>
              <w:widowControl/>
              <w:spacing w:line="300" w:lineRule="exact"/>
              <w:jc w:val="center"/>
              <w:rPr>
                <w:rFonts w:hint="default" w:ascii="宋体" w:hAnsi="宋体" w:eastAsia="方正仿宋_GBK" w:cs="宋体"/>
                <w:kern w:val="0"/>
                <w:sz w:val="24"/>
                <w:szCs w:val="24"/>
                <w:shd w:val="clear" w:color="auto" w:fill="auto"/>
                <w:lang w:val="en-US" w:eastAsia="zh-CN"/>
              </w:rPr>
            </w:pPr>
          </w:p>
        </w:tc>
        <w:tc>
          <w:tcPr>
            <w:tcW w:w="1238"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464" w:type="dxa"/>
            <w:gridSpan w:val="2"/>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其中：</w:t>
            </w:r>
          </w:p>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财政拨款</w:t>
            </w:r>
          </w:p>
        </w:tc>
        <w:tc>
          <w:tcPr>
            <w:tcW w:w="1075"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62</w:t>
            </w:r>
          </w:p>
        </w:tc>
        <w:tc>
          <w:tcPr>
            <w:tcW w:w="104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62</w:t>
            </w:r>
          </w:p>
        </w:tc>
        <w:tc>
          <w:tcPr>
            <w:tcW w:w="2110" w:type="dxa"/>
            <w:gridSpan w:val="3"/>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62</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100</w:t>
            </w:r>
          </w:p>
        </w:tc>
        <w:tc>
          <w:tcPr>
            <w:tcW w:w="993" w:type="dxa"/>
            <w:tcBorders>
              <w:tl2br w:val="nil"/>
              <w:tr2bl w:val="nil"/>
            </w:tcBorders>
            <w:noWrap w:val="0"/>
            <w:vAlign w:val="center"/>
          </w:tcPr>
          <w:p>
            <w:pPr>
              <w:widowControl/>
              <w:spacing w:line="300" w:lineRule="exact"/>
              <w:jc w:val="center"/>
              <w:rPr>
                <w:rFonts w:hint="eastAsia" w:ascii="宋体" w:hAnsi="宋体" w:eastAsia="方正仿宋_GBK" w:cs="宋体"/>
                <w:kern w:val="0"/>
                <w:sz w:val="24"/>
                <w:szCs w:val="24"/>
                <w:shd w:val="clear" w:color="auto" w:fill="auto"/>
                <w:lang w:val="en-US" w:eastAsia="zh-CN" w:bidi="ar-SA"/>
              </w:rPr>
            </w:pPr>
            <w:r>
              <w:rPr>
                <w:rFonts w:hint="eastAsia" w:ascii="宋体" w:hAnsi="宋体" w:eastAsia="方正仿宋_GBK" w:cs="宋体"/>
                <w:kern w:val="0"/>
                <w:sz w:val="24"/>
                <w:szCs w:val="24"/>
                <w:shd w:val="clear" w:color="auto" w:fill="auto"/>
                <w:lang w:val="en-US" w:eastAsia="zh-CN"/>
              </w:rPr>
              <w:t>10</w:t>
            </w:r>
          </w:p>
        </w:tc>
        <w:tc>
          <w:tcPr>
            <w:tcW w:w="123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当年绩效目标</w:t>
            </w:r>
          </w:p>
        </w:tc>
        <w:tc>
          <w:tcPr>
            <w:tcW w:w="5695" w:type="dxa"/>
            <w:gridSpan w:val="9"/>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年初绩效目标</w:t>
            </w:r>
          </w:p>
        </w:tc>
        <w:tc>
          <w:tcPr>
            <w:tcW w:w="3590" w:type="dxa"/>
            <w:gridSpan w:val="3"/>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5695" w:type="dxa"/>
            <w:gridSpan w:val="9"/>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打造科技创新中心为我区开展科技创新对外合作交流、宣传创新创业的窗口和平台。</w:t>
            </w:r>
          </w:p>
        </w:tc>
        <w:tc>
          <w:tcPr>
            <w:tcW w:w="3590" w:type="dxa"/>
            <w:gridSpan w:val="3"/>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科技创新中心为我区开展科技创新对外合作交流、宣传创新创业的窗口和平台。成果展厅全年免费开放、免费讲解；参与科技活动周；成果展厅改陈布展以及设施设备维护；举办科技创新活动；入驻中心企业行业指导工作；走访调研区内企业；开展技术合同认定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绩效指标</w:t>
            </w:r>
          </w:p>
        </w:tc>
        <w:tc>
          <w:tcPr>
            <w:tcW w:w="756"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70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计量</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单位</w:t>
            </w:r>
          </w:p>
        </w:tc>
        <w:tc>
          <w:tcPr>
            <w:tcW w:w="70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性质</w:t>
            </w:r>
          </w:p>
        </w:tc>
        <w:tc>
          <w:tcPr>
            <w:tcW w:w="708"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值</w:t>
            </w:r>
          </w:p>
        </w:tc>
        <w:tc>
          <w:tcPr>
            <w:tcW w:w="857"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完成值</w:t>
            </w:r>
          </w:p>
        </w:tc>
        <w:tc>
          <w:tcPr>
            <w:tcW w:w="85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偏离度（%）</w:t>
            </w:r>
          </w:p>
        </w:tc>
        <w:tc>
          <w:tcPr>
            <w:tcW w:w="1099"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系数</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1359"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2231"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成果展厅全年免费开放</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宋体" w:cs="宋体"/>
                <w:i w:val="0"/>
                <w:iCs w:val="0"/>
                <w:color w:val="000000"/>
                <w:kern w:val="0"/>
                <w:sz w:val="22"/>
                <w:szCs w:val="22"/>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jc w:val="both"/>
              <w:textAlignment w:val="center"/>
              <w:rPr>
                <w:rFonts w:hint="eastAsia" w:ascii="宋体" w:hAnsi="宋体" w:eastAsia="方正仿宋_GBK" w:cs="宋体"/>
                <w:color w:val="000000"/>
                <w:kern w:val="0"/>
                <w:sz w:val="24"/>
                <w:szCs w:val="24"/>
                <w:shd w:val="clear" w:color="auto" w:fill="auto"/>
              </w:rPr>
            </w:pPr>
            <w:bookmarkStart w:id="0" w:name="_GoBack"/>
            <w:bookmarkEnd w:id="0"/>
            <w:r>
              <w:rPr>
                <w:rFonts w:hint="eastAsia" w:ascii="宋体" w:hAnsi="宋体" w:eastAsia="宋体" w:cs="宋体"/>
                <w:i w:val="0"/>
                <w:iCs w:val="0"/>
                <w:color w:val="000000"/>
                <w:kern w:val="0"/>
                <w:sz w:val="22"/>
                <w:szCs w:val="22"/>
                <w:u w:val="none"/>
                <w:lang w:val="en-US" w:eastAsia="zh-CN" w:bidi="ar"/>
              </w:rPr>
              <w:t>100</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100</w:t>
            </w:r>
          </w:p>
        </w:tc>
        <w:tc>
          <w:tcPr>
            <w:tcW w:w="858"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20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举办科技创新活动</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6</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6</w:t>
            </w:r>
          </w:p>
        </w:tc>
        <w:tc>
          <w:tcPr>
            <w:tcW w:w="858"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15</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成果展厅改陈布展以及设施设备维护</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5</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5</w:t>
            </w:r>
          </w:p>
        </w:tc>
        <w:tc>
          <w:tcPr>
            <w:tcW w:w="858"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15</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入驻企业行业指导工作</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20</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20</w:t>
            </w:r>
          </w:p>
        </w:tc>
        <w:tc>
          <w:tcPr>
            <w:tcW w:w="858"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15</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走访调研区内企业</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宋体" w:cs="宋体"/>
                <w:i w:val="0"/>
                <w:iCs w:val="0"/>
                <w:color w:val="000000"/>
                <w:kern w:val="0"/>
                <w:sz w:val="22"/>
                <w:szCs w:val="22"/>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30</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30</w:t>
            </w:r>
          </w:p>
        </w:tc>
        <w:tc>
          <w:tcPr>
            <w:tcW w:w="858"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15</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入驻企业满意度</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57"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58"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rPr>
            </w:pPr>
            <w:r>
              <w:rPr>
                <w:rFonts w:hint="eastAsia" w:ascii="宋体" w:hAnsi="宋体" w:eastAsia="宋体" w:cs="宋体"/>
                <w:i w:val="0"/>
                <w:iCs w:val="0"/>
                <w:color w:val="000000"/>
                <w:kern w:val="0"/>
                <w:sz w:val="22"/>
                <w:szCs w:val="22"/>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7"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说明</w:t>
            </w:r>
          </w:p>
        </w:tc>
        <w:tc>
          <w:tcPr>
            <w:tcW w:w="9285" w:type="dxa"/>
            <w:gridSpan w:val="12"/>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p>
        </w:tc>
      </w:tr>
    </w:tbl>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2.</w:t>
      </w:r>
      <w:r>
        <w:rPr>
          <w:rStyle w:val="10"/>
          <w:rFonts w:hint="eastAsia" w:ascii="宋体" w:hAnsi="宋体" w:eastAsia="方正仿宋_GBK" w:cs="方正仿宋_GBK"/>
          <w:b w:val="0"/>
          <w:bCs/>
          <w:vanish w:val="0"/>
          <w:sz w:val="32"/>
          <w:szCs w:val="32"/>
          <w:shd w:val="clear" w:color="auto" w:fill="auto"/>
        </w:rPr>
        <w:t>绩效自评报告或案例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ascii="宋体" w:hAnsi="宋体" w:eastAsia="方正仿宋_GBK" w:cs="方正仿宋_GBK"/>
          <w:i w:val="0"/>
          <w:iCs w:val="0"/>
          <w:caps w:val="0"/>
          <w:spacing w:val="0"/>
          <w:sz w:val="32"/>
          <w:szCs w:val="32"/>
          <w:shd w:val="clear" w:color="auto" w:fill="auto"/>
        </w:rPr>
        <w:t>本年度我局未委托第三方开展绩效自评</w:t>
      </w:r>
      <w:r>
        <w:rPr>
          <w:rFonts w:hint="eastAsia" w:ascii="宋体" w:hAnsi="宋体" w:eastAsia="方正仿宋_GBK" w:cs="方正仿宋_GBK"/>
          <w:i w:val="0"/>
          <w:iCs w:val="0"/>
          <w:caps w:val="0"/>
          <w:spacing w:val="0"/>
          <w:sz w:val="32"/>
          <w:szCs w:val="32"/>
          <w:shd w:val="clear" w:color="auto" w:fill="auto"/>
          <w:lang w:eastAsia="zh-CN"/>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3.</w:t>
      </w:r>
      <w:r>
        <w:rPr>
          <w:rStyle w:val="10"/>
          <w:rFonts w:hint="eastAsia" w:ascii="宋体" w:hAnsi="宋体" w:eastAsia="方正仿宋_GBK" w:cs="方正仿宋_GBK"/>
          <w:b w:val="0"/>
          <w:bCs/>
          <w:vanish w:val="0"/>
          <w:sz w:val="32"/>
          <w:szCs w:val="32"/>
          <w:shd w:val="clear" w:color="auto" w:fill="auto"/>
        </w:rPr>
        <w:t>关于绩效自评结果的说明</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hd w:val="clear" w:color="auto" w:fill="auto"/>
        </w:rPr>
      </w:pPr>
      <w:r>
        <w:rPr>
          <w:rFonts w:hint="eastAsia" w:ascii="宋体" w:hAnsi="宋体" w:eastAsia="方正仿宋_GBK" w:cs="方正仿宋_GBK"/>
          <w:i w:val="0"/>
          <w:iCs w:val="0"/>
          <w:caps w:val="0"/>
          <w:spacing w:val="0"/>
          <w:sz w:val="32"/>
          <w:szCs w:val="32"/>
          <w:shd w:val="clear" w:color="auto" w:fill="auto"/>
        </w:rPr>
        <w:t>从评价情况来看，总体目标完成较好，立项依据充分，资金管理到位，产生的社会效益、经济效益、社会可持续影响好。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（三）重点绩效评价结果</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20" w:firstLineChars="200"/>
        <w:jc w:val="left"/>
        <w:textAlignment w:val="auto"/>
        <w:rPr>
          <w:rFonts w:ascii="宋体" w:hAnsi="宋体" w:eastAsia="方正仿宋_GBK" w:cs="方正仿宋_GBK"/>
          <w:i w:val="0"/>
          <w:iCs w:val="0"/>
          <w:caps w:val="0"/>
          <w:spacing w:val="0"/>
          <w:sz w:val="31"/>
          <w:szCs w:val="31"/>
          <w:shd w:val="clear" w:color="auto" w:fill="auto"/>
        </w:rPr>
      </w:pPr>
      <w:r>
        <w:rPr>
          <w:rFonts w:ascii="宋体" w:hAnsi="宋体" w:eastAsia="方正仿宋_GBK" w:cs="方正仿宋_GBK"/>
          <w:i w:val="0"/>
          <w:iCs w:val="0"/>
          <w:caps w:val="0"/>
          <w:spacing w:val="0"/>
          <w:sz w:val="31"/>
          <w:szCs w:val="31"/>
          <w:shd w:val="clear" w:color="auto" w:fill="auto"/>
        </w:rPr>
        <w:t>本年度</w:t>
      </w:r>
      <w:r>
        <w:rPr>
          <w:rFonts w:hint="eastAsia" w:ascii="宋体" w:hAnsi="宋体" w:eastAsia="方正仿宋_GBK" w:cs="方正仿宋_GBK"/>
          <w:i w:val="0"/>
          <w:iCs w:val="0"/>
          <w:caps w:val="0"/>
          <w:spacing w:val="0"/>
          <w:sz w:val="31"/>
          <w:szCs w:val="31"/>
          <w:shd w:val="clear" w:color="auto" w:fill="auto"/>
          <w:lang w:eastAsia="zh-CN"/>
        </w:rPr>
        <w:t>本部门</w:t>
      </w:r>
      <w:r>
        <w:rPr>
          <w:rFonts w:ascii="宋体" w:hAnsi="宋体" w:eastAsia="方正仿宋_GBK" w:cs="方正仿宋_GBK"/>
          <w:i w:val="0"/>
          <w:iCs w:val="0"/>
          <w:caps w:val="0"/>
          <w:spacing w:val="0"/>
          <w:sz w:val="31"/>
          <w:szCs w:val="31"/>
          <w:shd w:val="clear" w:color="auto" w:fill="auto"/>
        </w:rPr>
        <w:t>无重点绩效评价项目。</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黑体_GBK" w:cs="方正黑体_GBK"/>
          <w:b w:val="0"/>
          <w:bCs/>
          <w:vanish w:val="0"/>
          <w:sz w:val="32"/>
          <w:szCs w:val="32"/>
        </w:rPr>
        <w:t>六、专业名词解释</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（一）财政拨款收入</w:t>
      </w:r>
      <w:r>
        <w:rPr>
          <w:rFonts w:hint="eastAsia" w:ascii="宋体" w:hAnsi="宋体" w:eastAsia="方正楷体_GBK" w:cs="方正楷体_GBK"/>
          <w:b w:val="0"/>
          <w:bCs/>
          <w:vanish w:val="0"/>
          <w:sz w:val="32"/>
          <w:szCs w:val="32"/>
        </w:rPr>
        <w:t>：</w:t>
      </w:r>
      <w:r>
        <w:rPr>
          <w:rFonts w:hint="eastAsia" w:ascii="宋体" w:hAnsi="宋体" w:eastAsia="方正仿宋_GBK" w:cs="方正仿宋_GBK"/>
          <w:b w:val="0"/>
          <w:bCs/>
          <w:vanish w:val="0"/>
          <w:sz w:val="32"/>
          <w:szCs w:val="32"/>
        </w:rPr>
        <w:t>指本年度从本级财政部门取得的财政拨款，包括一般公共预算财政拨款和政府性基金预算财政拨款。</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二</w:t>
      </w:r>
      <w:r>
        <w:rPr>
          <w:rStyle w:val="10"/>
          <w:rFonts w:hint="eastAsia" w:ascii="宋体" w:hAnsi="宋体" w:eastAsia="方正楷体_GBK" w:cs="方正楷体_GBK"/>
          <w:b w:val="0"/>
          <w:bCs/>
          <w:vanish w:val="0"/>
          <w:sz w:val="32"/>
          <w:szCs w:val="32"/>
        </w:rPr>
        <w:t>）其他收入</w:t>
      </w:r>
      <w:r>
        <w:rPr>
          <w:rFonts w:hint="eastAsia" w:ascii="宋体" w:hAnsi="宋体" w:eastAsia="方正楷体_GBK" w:cs="方正楷体_GBK"/>
          <w:b w:val="0"/>
          <w:bCs/>
          <w:vanish w:val="0"/>
          <w:sz w:val="32"/>
          <w:szCs w:val="32"/>
        </w:rPr>
        <w:t>：</w:t>
      </w:r>
      <w:r>
        <w:rPr>
          <w:rFonts w:hint="eastAsia" w:ascii="宋体" w:hAnsi="宋体" w:eastAsia="方正仿宋_GBK" w:cs="方正仿宋_GBK"/>
          <w:b w:val="0"/>
          <w:bCs/>
          <w:vanish w:val="0"/>
          <w:sz w:val="32"/>
          <w:szCs w:val="32"/>
        </w:rPr>
        <w:t>指单位取得的除“财政拨款收入”、“事业收入”、“经营收入”等以外的收入。</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三</w:t>
      </w:r>
      <w:r>
        <w:rPr>
          <w:rStyle w:val="10"/>
          <w:rFonts w:hint="eastAsia" w:ascii="宋体" w:hAnsi="宋体" w:eastAsia="方正楷体_GBK" w:cs="方正楷体_GBK"/>
          <w:b w:val="0"/>
          <w:bCs/>
          <w:vanish w:val="0"/>
          <w:sz w:val="32"/>
          <w:szCs w:val="32"/>
        </w:rPr>
        <w:t>）年初结转和结余</w:t>
      </w:r>
      <w:r>
        <w:rPr>
          <w:rFonts w:hint="eastAsia" w:ascii="宋体" w:hAnsi="宋体" w:eastAsia="方正楷体_GBK" w:cs="方正楷体_GBK"/>
          <w:b w:val="0"/>
          <w:bCs/>
          <w:vanish w:val="0"/>
          <w:sz w:val="32"/>
          <w:szCs w:val="32"/>
        </w:rPr>
        <w:t>：</w:t>
      </w:r>
      <w:r>
        <w:rPr>
          <w:rFonts w:hint="eastAsia" w:ascii="宋体" w:hAnsi="宋体" w:eastAsia="方正仿宋_GBK" w:cs="方正仿宋_GBK"/>
          <w:b w:val="0"/>
          <w:bCs/>
          <w:vanish w:val="0"/>
          <w:sz w:val="32"/>
          <w:szCs w:val="32"/>
        </w:rPr>
        <w:t>指单位上年结转本年使用的基本支出结转、项目支出结转和结余、经营结余。</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四</w:t>
      </w:r>
      <w:r>
        <w:rPr>
          <w:rStyle w:val="10"/>
          <w:rFonts w:hint="eastAsia" w:ascii="宋体" w:hAnsi="宋体" w:eastAsia="方正楷体_GBK" w:cs="方正楷体_GBK"/>
          <w:b w:val="0"/>
          <w:bCs/>
          <w:vanish w:val="0"/>
          <w:sz w:val="32"/>
          <w:szCs w:val="32"/>
        </w:rPr>
        <w:t>）年末结转和结余</w:t>
      </w:r>
      <w:r>
        <w:rPr>
          <w:rFonts w:hint="eastAsia" w:ascii="宋体" w:hAnsi="宋体" w:eastAsia="方正楷体_GBK" w:cs="方正楷体_GBK"/>
          <w:b w:val="0"/>
          <w:bCs/>
          <w:vanish w:val="0"/>
          <w:sz w:val="32"/>
          <w:szCs w:val="32"/>
        </w:rPr>
        <w:t>：</w:t>
      </w:r>
      <w:r>
        <w:rPr>
          <w:rFonts w:hint="eastAsia" w:ascii="宋体" w:hAnsi="宋体" w:eastAsia="方正仿宋_GBK" w:cs="方正仿宋_GBK"/>
          <w:b w:val="0"/>
          <w:bCs/>
          <w:vanish w:val="0"/>
          <w:sz w:val="32"/>
          <w:szCs w:val="32"/>
        </w:rPr>
        <w:t>指单位结转下年的基本支出结转、项目支出结转和结余、经营结余。</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五</w:t>
      </w:r>
      <w:r>
        <w:rPr>
          <w:rStyle w:val="10"/>
          <w:rFonts w:hint="eastAsia" w:ascii="宋体" w:hAnsi="宋体" w:eastAsia="方正楷体_GBK" w:cs="方正楷体_GBK"/>
          <w:b w:val="0"/>
          <w:bCs/>
          <w:vanish w:val="0"/>
          <w:sz w:val="32"/>
          <w:szCs w:val="32"/>
        </w:rPr>
        <w:t>）基本支出</w:t>
      </w:r>
      <w:r>
        <w:rPr>
          <w:rFonts w:hint="eastAsia" w:ascii="宋体" w:hAnsi="宋体" w:eastAsia="方正楷体_GBK" w:cs="方正楷体_GBK"/>
          <w:b w:val="0"/>
          <w:bCs/>
          <w:vanish w:val="0"/>
          <w:sz w:val="32"/>
          <w:szCs w:val="32"/>
        </w:rPr>
        <w:t>：</w:t>
      </w:r>
      <w:r>
        <w:rPr>
          <w:rFonts w:hint="eastAsia" w:ascii="宋体" w:hAnsi="宋体" w:eastAsia="方正仿宋_GBK" w:cs="方正仿宋_GBK"/>
          <w:b w:val="0"/>
          <w:bCs/>
          <w:vanish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六</w:t>
      </w:r>
      <w:r>
        <w:rPr>
          <w:rStyle w:val="10"/>
          <w:rFonts w:hint="eastAsia" w:ascii="宋体" w:hAnsi="宋体" w:eastAsia="方正楷体_GBK" w:cs="方正楷体_GBK"/>
          <w:b w:val="0"/>
          <w:bCs/>
          <w:vanish w:val="0"/>
          <w:sz w:val="32"/>
          <w:szCs w:val="32"/>
        </w:rPr>
        <w:t>）项目支出</w:t>
      </w:r>
      <w:r>
        <w:rPr>
          <w:rFonts w:hint="eastAsia" w:ascii="宋体" w:hAnsi="宋体" w:eastAsia="方正楷体_GBK" w:cs="方正楷体_GBK"/>
          <w:b w:val="0"/>
          <w:bCs/>
          <w:vanish w:val="0"/>
          <w:sz w:val="32"/>
          <w:szCs w:val="32"/>
        </w:rPr>
        <w:t>：</w:t>
      </w:r>
      <w:r>
        <w:rPr>
          <w:rFonts w:hint="eastAsia" w:ascii="宋体" w:hAnsi="宋体" w:eastAsia="方正仿宋_GBK" w:cs="方正仿宋_GBK"/>
          <w:b w:val="0"/>
          <w:bCs/>
          <w:vanish w:val="0"/>
          <w:sz w:val="32"/>
          <w:szCs w:val="32"/>
        </w:rPr>
        <w:t>指在基本支出之外为完成特定行政任务和事业发展目标所发生的支出。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vanish w:val="0"/>
          <w:sz w:val="32"/>
          <w:szCs w:val="32"/>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七</w:t>
      </w:r>
      <w:r>
        <w:rPr>
          <w:rStyle w:val="10"/>
          <w:rFonts w:hint="eastAsia" w:ascii="宋体" w:hAnsi="宋体" w:eastAsia="方正楷体_GBK" w:cs="方正楷体_GBK"/>
          <w:b w:val="0"/>
          <w:bCs/>
          <w:vanish w:val="0"/>
          <w:sz w:val="32"/>
          <w:szCs w:val="32"/>
        </w:rPr>
        <w:t>）工资福利支出（支出经济分类科目类级）</w:t>
      </w:r>
      <w:r>
        <w:rPr>
          <w:rFonts w:hint="eastAsia" w:ascii="宋体" w:hAnsi="宋体" w:eastAsia="方正仿宋_GBK" w:cs="方正仿宋_GBK"/>
          <w:b w:val="0"/>
          <w:bCs/>
          <w:vanish w:val="0"/>
          <w:sz w:val="32"/>
          <w:szCs w:val="32"/>
        </w:rPr>
        <w:t>：反映单位开支的在职职工和编制外长期聘用人员的各类劳动报酬，以及为上述人员缴纳的各项社会保险费等。</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Style w:val="10"/>
          <w:rFonts w:hint="eastAsia" w:ascii="宋体" w:hAnsi="宋体" w:eastAsia="方正楷体_GBK" w:cs="方正楷体_GBK"/>
          <w:b w:val="0"/>
          <w:bCs/>
          <w:vanish w:val="0"/>
          <w:sz w:val="32"/>
          <w:szCs w:val="32"/>
        </w:rPr>
        <w:t>（</w:t>
      </w:r>
      <w:r>
        <w:rPr>
          <w:rStyle w:val="10"/>
          <w:rFonts w:hint="eastAsia" w:hAnsi="宋体" w:eastAsia="方正楷体_GBK" w:cs="方正楷体_GBK"/>
          <w:b w:val="0"/>
          <w:bCs/>
          <w:vanish w:val="0"/>
          <w:sz w:val="32"/>
          <w:szCs w:val="32"/>
          <w:lang w:eastAsia="zh-CN"/>
        </w:rPr>
        <w:t>八</w:t>
      </w:r>
      <w:r>
        <w:rPr>
          <w:rStyle w:val="10"/>
          <w:rFonts w:hint="eastAsia" w:ascii="宋体" w:hAnsi="宋体" w:eastAsia="方正楷体_GBK" w:cs="方正楷体_GBK"/>
          <w:b w:val="0"/>
          <w:bCs/>
          <w:vanish w:val="0"/>
          <w:sz w:val="32"/>
          <w:szCs w:val="32"/>
        </w:rPr>
        <w:t>）商品和服务支出（支出经济分类科目类级）</w:t>
      </w:r>
      <w:r>
        <w:rPr>
          <w:rFonts w:hint="eastAsia" w:ascii="宋体" w:hAnsi="宋体" w:eastAsia="方正楷体_GBK" w:cs="方正楷体_GBK"/>
          <w:b w:val="0"/>
          <w:bCs/>
          <w:vanish w:val="0"/>
          <w:sz w:val="32"/>
          <w:szCs w:val="32"/>
        </w:rPr>
        <w:t>：</w:t>
      </w:r>
      <w:r>
        <w:rPr>
          <w:rFonts w:hint="eastAsia" w:ascii="宋体" w:hAnsi="宋体" w:eastAsia="方正仿宋_GBK" w:cs="方正仿宋_GBK"/>
          <w:b w:val="0"/>
          <w:bCs/>
          <w:vanish w:val="0"/>
          <w:sz w:val="32"/>
          <w:szCs w:val="32"/>
        </w:rPr>
        <w:t>反映单位购买商品和服务的支出（不包括用于购置固定资产的支出、战略性和应急储备支出）。</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b w:val="0"/>
          <w:bCs/>
          <w:vanish w:val="0"/>
          <w:sz w:val="32"/>
          <w:szCs w:val="32"/>
        </w:rPr>
      </w:pPr>
      <w:r>
        <w:rPr>
          <w:rStyle w:val="10"/>
          <w:rFonts w:hint="eastAsia" w:ascii="宋体" w:hAnsi="宋体" w:eastAsia="方正黑体_GBK" w:cs="方正黑体_GBK"/>
          <w:b w:val="0"/>
          <w:bCs/>
          <w:vanish w:val="0"/>
          <w:sz w:val="32"/>
          <w:szCs w:val="32"/>
        </w:rPr>
        <w:t>七、决算公开联系方式及信息反馈渠道</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nish w:val="0"/>
          <w:sz w:val="32"/>
          <w:szCs w:val="32"/>
        </w:rPr>
      </w:pPr>
      <w:r>
        <w:rPr>
          <w:rFonts w:hint="eastAsia" w:ascii="宋体" w:hAnsi="宋体" w:eastAsia="方正仿宋_GBK" w:cs="方正仿宋_GBK"/>
          <w:b w:val="0"/>
          <w:bCs/>
          <w:vanish w:val="0"/>
          <w:sz w:val="32"/>
          <w:szCs w:val="32"/>
        </w:rPr>
        <w:t>本单位决算公开信息反馈和联系方式：</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ascii="宋体" w:hAnsi="宋体" w:eastAsia="方正仿宋_GBK" w:cs="方正仿宋_GBK"/>
          <w:b w:val="0"/>
          <w:bCs/>
          <w:vanish w:val="0"/>
          <w:color w:val="auto"/>
          <w:sz w:val="32"/>
          <w:szCs w:val="32"/>
          <w:lang w:val="en-US" w:eastAsia="zh-CN"/>
        </w:rPr>
      </w:pPr>
      <w:r>
        <w:rPr>
          <w:rFonts w:hint="eastAsia" w:hAnsi="宋体" w:eastAsia="方正仿宋_GBK" w:cs="方正仿宋_GBK"/>
          <w:b w:val="0"/>
          <w:bCs/>
          <w:vanish w:val="0"/>
          <w:color w:val="auto"/>
          <w:sz w:val="32"/>
          <w:szCs w:val="32"/>
          <w:lang w:eastAsia="zh-CN"/>
        </w:rPr>
        <w:t>董莉</w:t>
      </w:r>
      <w:r>
        <w:rPr>
          <w:rFonts w:hint="eastAsia" w:ascii="宋体" w:hAnsi="宋体" w:eastAsia="方正仿宋_GBK" w:cs="方正仿宋_GBK"/>
          <w:b w:val="0"/>
          <w:bCs/>
          <w:vanish w:val="0"/>
          <w:color w:val="auto"/>
          <w:sz w:val="32"/>
          <w:szCs w:val="32"/>
        </w:rPr>
        <w:t xml:space="preserve">   </w:t>
      </w:r>
      <w:r>
        <w:rPr>
          <w:rFonts w:hint="eastAsia" w:hAnsi="宋体" w:eastAsia="方正仿宋_GBK" w:cs="方正仿宋_GBK"/>
          <w:b w:val="0"/>
          <w:bCs/>
          <w:vanish w:val="0"/>
          <w:color w:val="auto"/>
          <w:sz w:val="32"/>
          <w:szCs w:val="32"/>
          <w:lang w:val="en-US" w:eastAsia="zh-CN"/>
        </w:rPr>
        <w:t>023-47569101</w:t>
      </w:r>
    </w:p>
    <w:p>
      <w:pPr>
        <w:rPr>
          <w:rFonts w:hint="eastAsia" w:ascii="宋体" w:hAnsi="宋体" w:eastAsia="方正仿宋_GBK" w:cs="方正仿宋_GBK"/>
          <w:color w:val="auto"/>
          <w:sz w:val="32"/>
          <w:szCs w:val="32"/>
        </w:rPr>
      </w:pPr>
    </w:p>
    <w:sectPr>
      <w:footerReference r:id="rId5" w:type="default"/>
      <w:pgSz w:w="11907" w:h="16839"/>
      <w:pgMar w:top="2098" w:right="1474" w:bottom="1984" w:left="1587" w:header="851" w:footer="1474"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jNiYWJkMTFmOTUwMGY3OTI2YWNlNjFhM2I2YmI3Y2QifQ=="/>
  </w:docVars>
  <w:rsids>
    <w:rsidRoot w:val="00000000"/>
    <w:rsid w:val="024E217D"/>
    <w:rsid w:val="089439ED"/>
    <w:rsid w:val="0B65279B"/>
    <w:rsid w:val="0DB64A2C"/>
    <w:rsid w:val="11BE74D2"/>
    <w:rsid w:val="170A41E9"/>
    <w:rsid w:val="1A4C32C6"/>
    <w:rsid w:val="28096C9A"/>
    <w:rsid w:val="29A47823"/>
    <w:rsid w:val="316D5249"/>
    <w:rsid w:val="354A32AA"/>
    <w:rsid w:val="39317DFF"/>
    <w:rsid w:val="4B550B14"/>
    <w:rsid w:val="4E1A3E96"/>
    <w:rsid w:val="52C56F30"/>
    <w:rsid w:val="61022EA5"/>
    <w:rsid w:val="6F691486"/>
    <w:rsid w:val="781A03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character" w:styleId="10">
    <w:name w:val="Strong"/>
    <w:qFormat/>
    <w:uiPriority w:val="0"/>
    <w:rPr>
      <w:b/>
    </w:rPr>
  </w:style>
  <w:style w:type="paragraph"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1</Company>
  <Pages>9</Pages>
  <Words>3664</Words>
  <Characters>4039</Characters>
  <Lines>290</Lines>
  <Paragraphs>126</Paragraphs>
  <TotalTime>0</TotalTime>
  <ScaleCrop>false</ScaleCrop>
  <LinksUpToDate>false</LinksUpToDate>
  <CharactersWithSpaces>4042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2023-08-15T09:37:00Z</dcterms:created>
  <dc:creator>a</dc:creator>
  <cp:lastModifiedBy>企业用户_741294171</cp:lastModifiedBy>
  <dcterms:modified xsi:type="dcterms:W3CDTF">2023-08-23T03:55:11Z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49613598F95B4008BBF2FC52ED6890BE_13</vt:lpwstr>
  </property>
</Properties>
</file>