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FB234">
      <w:pPr>
        <w:pStyle w:val="4"/>
        <w:keepNext w:val="0"/>
        <w:keepLines w:val="0"/>
        <w:pageBreakBefore w:val="0"/>
        <w:widowControl/>
        <w:shd w:val="clear" w:color="auto" w:fill="FFFFFF"/>
        <w:kinsoku/>
        <w:wordWrap/>
        <w:overflowPunct/>
        <w:topLinePunct w:val="0"/>
        <w:autoSpaceDE/>
        <w:autoSpaceDN/>
        <w:bidi w:val="0"/>
        <w:adjustRightInd/>
        <w:snapToGrid w:val="0"/>
        <w:spacing w:line="440" w:lineRule="exact"/>
        <w:jc w:val="center"/>
        <w:textAlignment w:val="auto"/>
        <w:rPr>
          <w:rFonts w:hint="eastAsia" w:ascii="方正小标宋_GBK" w:hAnsi="方正小标宋_GBK" w:eastAsia="方正小标宋_GBK" w:cs="方正小标宋_GBK"/>
          <w:b w:val="0"/>
          <w:bCs w:val="0"/>
          <w:sz w:val="44"/>
          <w:szCs w:val="44"/>
          <w:lang w:val="en-US" w:eastAsia="zh-CN"/>
        </w:rPr>
      </w:pPr>
      <w:bookmarkStart w:id="0" w:name="_GoBack"/>
      <w:r>
        <w:rPr>
          <w:rFonts w:hint="eastAsia" w:ascii="方正小标宋_GBK" w:hAnsi="方正小标宋_GBK" w:eastAsia="方正小标宋_GBK" w:cs="方正小标宋_GBK"/>
          <w:b w:val="0"/>
          <w:bCs w:val="0"/>
          <w:sz w:val="44"/>
          <w:szCs w:val="44"/>
        </w:rPr>
        <w:t>重庆市江津区民政局</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lang w:val="en-US" w:eastAsia="zh-CN"/>
        </w:rPr>
        <w:t>汇总）</w:t>
      </w:r>
    </w:p>
    <w:p w14:paraId="24F2CFFC">
      <w:pPr>
        <w:pStyle w:val="4"/>
        <w:keepNext w:val="0"/>
        <w:keepLines w:val="0"/>
        <w:pageBreakBefore w:val="0"/>
        <w:widowControl/>
        <w:shd w:val="clear" w:color="auto" w:fill="FFFFFF"/>
        <w:kinsoku/>
        <w:wordWrap/>
        <w:overflowPunct/>
        <w:topLinePunct w:val="0"/>
        <w:autoSpaceDE/>
        <w:autoSpaceDN/>
        <w:bidi w:val="0"/>
        <w:adjustRightInd/>
        <w:snapToGrid w:val="0"/>
        <w:spacing w:line="4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4</w:t>
      </w:r>
      <w:r>
        <w:rPr>
          <w:rFonts w:hint="eastAsia" w:ascii="方正小标宋_GBK" w:hAnsi="方正小标宋_GBK" w:eastAsia="方正小标宋_GBK" w:cs="方正小标宋_GBK"/>
          <w:b w:val="0"/>
          <w:bCs w:val="0"/>
          <w:sz w:val="44"/>
          <w:szCs w:val="44"/>
        </w:rPr>
        <w:t>年度部门决算</w:t>
      </w:r>
      <w:r>
        <w:rPr>
          <w:rFonts w:hint="eastAsia" w:ascii="方正小标宋_GBK" w:hAnsi="方正小标宋_GBK" w:eastAsia="方正小标宋_GBK" w:cs="方正小标宋_GBK"/>
          <w:b w:val="0"/>
          <w:bCs w:val="0"/>
          <w:sz w:val="44"/>
          <w:szCs w:val="44"/>
          <w:lang w:val="en-US" w:eastAsia="zh-CN"/>
        </w:rPr>
        <w:t>公开</w:t>
      </w:r>
      <w:r>
        <w:rPr>
          <w:rFonts w:hint="eastAsia" w:ascii="方正小标宋_GBK" w:hAnsi="方正小标宋_GBK" w:eastAsia="方正小标宋_GBK" w:cs="方正小标宋_GBK"/>
          <w:b w:val="0"/>
          <w:bCs w:val="0"/>
          <w:sz w:val="44"/>
          <w:szCs w:val="44"/>
        </w:rPr>
        <w:t>情况说明</w:t>
      </w:r>
    </w:p>
    <w:bookmarkEnd w:id="0"/>
    <w:p w14:paraId="4E573E67">
      <w:pPr>
        <w:pStyle w:val="4"/>
        <w:numPr>
          <w:ilvl w:val="0"/>
          <w:numId w:val="0"/>
        </w:numPr>
        <w:shd w:val="clear" w:color="auto" w:fill="FFFFFF"/>
        <w:snapToGrid w:val="0"/>
        <w:ind w:firstLine="663" w:firstLineChars="200"/>
        <w:rPr>
          <w:rStyle w:val="7"/>
          <w:rFonts w:hint="eastAsia" w:ascii="方正黑体_GBK" w:hAnsi="方正黑体_GBK" w:eastAsia="方正黑体_GBK" w:cs="方正黑体_GBK"/>
          <w:sz w:val="33"/>
          <w:szCs w:val="33"/>
        </w:rPr>
      </w:pPr>
      <w:r>
        <w:rPr>
          <w:rStyle w:val="7"/>
          <w:rFonts w:hint="eastAsia" w:ascii="方正黑体_GBK" w:hAnsi="方正黑体_GBK" w:eastAsia="方正黑体_GBK" w:cs="方正黑体_GBK"/>
          <w:sz w:val="33"/>
          <w:szCs w:val="33"/>
          <w:lang w:eastAsia="zh-CN"/>
        </w:rPr>
        <w:t>一、</w:t>
      </w:r>
      <w:r>
        <w:rPr>
          <w:rStyle w:val="7"/>
          <w:rFonts w:hint="eastAsia" w:ascii="方正黑体_GBK" w:hAnsi="方正黑体_GBK" w:eastAsia="方正黑体_GBK" w:cs="方正黑体_GBK"/>
          <w:sz w:val="33"/>
          <w:szCs w:val="33"/>
        </w:rPr>
        <w:t>部门基本情况</w:t>
      </w:r>
    </w:p>
    <w:p w14:paraId="2981716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eastAsia="zh-CN"/>
        </w:rPr>
        <w:t>（一）职能职责</w:t>
      </w:r>
    </w:p>
    <w:p w14:paraId="01C3DC37">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135"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重庆市江津区民政局贯彻落实党中央、市委、区委关于民政工作的方针政策和决策部署，在履行职责过程中坚持和加强党对民政工作的集中统一领导。主要职责是：</w:t>
      </w:r>
    </w:p>
    <w:p w14:paraId="593C7920">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135"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拟订并组织实施民政事业发展规划、措施。</w:t>
      </w:r>
    </w:p>
    <w:p w14:paraId="4E77D59A">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135"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贯彻执行社会团体、基金会、社会服务机构等社会组织登记和监督管理办法，依法对社会组织进行登记管理和执法监督。</w:t>
      </w:r>
    </w:p>
    <w:p w14:paraId="4553DC55">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135"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贯彻执行社会救助政策、标准，统筹全区社会救助体系建设，负责城乡居民最低生活保障、特困人员救助供养、临时救助、生活无着流浪乞讨人员救助工作。</w:t>
      </w:r>
    </w:p>
    <w:p w14:paraId="0FE721CD">
      <w:pPr>
        <w:pStyle w:val="4"/>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firstLine="632"/>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组织拟订并协调落实应对人口老龄化政策措施、承担区老龄工作委员会办公室的具体工作等。</w:t>
      </w:r>
    </w:p>
    <w:p w14:paraId="47F46C92">
      <w:pPr>
        <w:keepNext w:val="0"/>
        <w:keepLines w:val="0"/>
        <w:pageBreakBefore w:val="0"/>
        <w:kinsoku/>
        <w:wordWrap/>
        <w:overflowPunct/>
        <w:topLinePunct w:val="0"/>
        <w:autoSpaceDE/>
        <w:autoSpaceDN/>
        <w:bidi w:val="0"/>
        <w:adjustRightInd/>
        <w:spacing w:line="560" w:lineRule="exact"/>
        <w:ind w:firstLine="632"/>
        <w:textAlignment w:val="auto"/>
        <w:rPr>
          <w:rFonts w:hint="eastAsia" w:ascii="方正仿宋_GBK" w:hAnsi="方正仿宋_GBK" w:eastAsia="方正仿宋_GBK" w:cs="方正仿宋_GBK"/>
          <w:color w:val="auto"/>
          <w:kern w:val="2"/>
          <w:sz w:val="32"/>
          <w:szCs w:val="32"/>
          <w:lang w:bidi="ar-SA"/>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color w:val="auto"/>
          <w:kern w:val="2"/>
          <w:sz w:val="32"/>
          <w:szCs w:val="32"/>
          <w:lang w:bidi="ar-SA"/>
        </w:rPr>
        <w:t>贯彻执行行政区划、行政区域界限管理和地名管理政策、标准，按权限负责报市政府审批的行政区划设立、命名、变更和政府驻地迁移相关工作，负责区内行政区域界线的勘定和管理工作，负责地名管理工作。</w:t>
      </w:r>
    </w:p>
    <w:p w14:paraId="2CDA696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贯彻执行婚姻管理政策，推进婚俗改革。</w:t>
      </w:r>
    </w:p>
    <w:p w14:paraId="436FB79A">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135"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贯彻执行殡葬管理政策、服务规范，推进殡葬改革</w:t>
      </w:r>
      <w:r>
        <w:rPr>
          <w:rFonts w:hint="eastAsia" w:ascii="方正仿宋_GBK" w:hAnsi="方正仿宋_GBK" w:eastAsia="方正仿宋_GBK" w:cs="方正仿宋_GBK"/>
          <w:sz w:val="32"/>
          <w:szCs w:val="32"/>
          <w:lang w:eastAsia="zh-CN"/>
        </w:rPr>
        <w:t>。</w:t>
      </w:r>
    </w:p>
    <w:p w14:paraId="285D66B5">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135"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统筹推进、督促指导、监督管理养老服务工作，拟订养老服务体系建设规划、扶持政策措施并组织实施，承担老年人福利和特殊困难老年人救助工作。</w:t>
      </w:r>
    </w:p>
    <w:p w14:paraId="3B8D121E">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135"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贯彻执行残疾人权益保护政策，统筹推进残疾人福利制度建设和康复辅助器具产业发展。</w:t>
      </w:r>
    </w:p>
    <w:p w14:paraId="11D5ABDC">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135"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贯彻执行儿童福利、孤弃儿童保障、儿童收养、儿童救助保护政策、标准，健全农村留守儿童关爱服务体系和困境儿童保障制度。</w:t>
      </w:r>
    </w:p>
    <w:p w14:paraId="5AAA3C10">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135"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贯彻执行促进慈善事业发展政策，指导社会捐助工作，负责福利彩票管理相关工作。</w:t>
      </w:r>
    </w:p>
    <w:p w14:paraId="11C562F9">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135"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贯彻执行社会工作、志愿服务政策和标准，会同有关部门推进社会工作人才队伍建设和志愿者队伍建设。</w:t>
      </w:r>
    </w:p>
    <w:p w14:paraId="362E1B7C">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135"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13.</w:t>
      </w:r>
      <w:r>
        <w:rPr>
          <w:rFonts w:hint="eastAsia" w:ascii="方正仿宋_GBK" w:hAnsi="方正仿宋_GBK" w:eastAsia="方正仿宋_GBK" w:cs="方正仿宋_GBK"/>
          <w:sz w:val="32"/>
          <w:szCs w:val="32"/>
        </w:rPr>
        <w:t>承担法律、法规、规章、政策规定的应急、安全、稳定等相关工作职责。</w:t>
      </w:r>
    </w:p>
    <w:p w14:paraId="4A65A603">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135"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完成区委、区政府交办的其他任务。</w:t>
      </w:r>
    </w:p>
    <w:p w14:paraId="285E407C">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15.重庆市江津区民政局应强化基本民生保障职能，为困难群众、孤老孤残孤儿等特殊困难群体提供基本社会服务，促进资源向薄弱地区、领域、环节倾斜。积极培育社会组织、社会工作者等多元参与主体，推动搭建基层社会治理和社区公共服务平台</w:t>
      </w:r>
      <w:r>
        <w:rPr>
          <w:rFonts w:hint="eastAsia" w:ascii="方正仿宋_GBK" w:hAnsi="方正仿宋_GBK" w:eastAsia="方正仿宋_GBK" w:cs="方正仿宋_GBK"/>
          <w:color w:val="auto"/>
          <w:kern w:val="0"/>
          <w:sz w:val="32"/>
          <w:szCs w:val="32"/>
          <w:lang w:bidi="ar-SA"/>
        </w:rPr>
        <w:t>。</w:t>
      </w:r>
    </w:p>
    <w:p w14:paraId="00E3A8B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eastAsia="zh-CN"/>
        </w:rPr>
        <w:t>（二）机构设置</w:t>
      </w:r>
    </w:p>
    <w:p w14:paraId="2518C405">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135"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重庆市江津区民政局是区政府工作部门，为正处级。区民政局机关内设机构有：办公室（综合执法科）、规划财务科、社会事务科（行政审批科）、</w:t>
      </w:r>
      <w:r>
        <w:rPr>
          <w:rFonts w:hint="eastAsia" w:ascii="方正仿宋_GBK" w:hAnsi="方正仿宋_GBK" w:eastAsia="方正仿宋_GBK" w:cs="方正仿宋_GBK"/>
          <w:sz w:val="32"/>
          <w:szCs w:val="32"/>
          <w:lang w:eastAsia="zh-CN"/>
        </w:rPr>
        <w:t>社会救助和区划地名科</w:t>
      </w:r>
      <w:r>
        <w:rPr>
          <w:rFonts w:hint="eastAsia" w:ascii="方正仿宋_GBK" w:hAnsi="方正仿宋_GBK" w:eastAsia="方正仿宋_GBK" w:cs="方正仿宋_GBK"/>
          <w:kern w:val="2"/>
          <w:sz w:val="32"/>
          <w:szCs w:val="32"/>
          <w:lang w:val="en-US" w:eastAsia="zh-CN" w:bidi="ar-SA"/>
        </w:rPr>
        <w:t>、养老服务和儿童福利科、群众工作科（法制科）、机关党委 。</w:t>
      </w:r>
    </w:p>
    <w:p w14:paraId="4E826A94">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135"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区民政局下属二级预算单位有：区民政局机关（本级）、区城市居民最低生活保障管理中心、区民政局婚姻登记处、区养老和社会福利服务中心、区救助管理站、区殡葬事业管理所。</w:t>
      </w:r>
    </w:p>
    <w:p w14:paraId="3FFABC7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（三）</w:t>
      </w:r>
      <w:r>
        <w:rPr>
          <w:rFonts w:hint="eastAsia" w:ascii="宋体" w:hAnsi="宋体" w:eastAsia="方正楷体_GBK" w:cs="方正楷体_GBK"/>
          <w:kern w:val="0"/>
          <w:sz w:val="32"/>
          <w:szCs w:val="32"/>
          <w:lang w:eastAsia="zh-CN"/>
        </w:rPr>
        <w:t>单位构成</w:t>
      </w:r>
    </w:p>
    <w:p w14:paraId="0051D597">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135" w:leftChars="0" w:firstLine="542" w:firstLineChars="200"/>
        <w:textAlignment w:val="auto"/>
        <w:rPr>
          <w:rFonts w:hint="eastAsia" w:ascii="方正仿宋_GBK" w:hAnsi="方正仿宋_GBK" w:eastAsia="方正仿宋_GBK" w:cs="方正仿宋_GBK"/>
          <w:kern w:val="2"/>
          <w:sz w:val="32"/>
          <w:szCs w:val="32"/>
          <w:lang w:val="en-US" w:eastAsia="zh-CN" w:bidi="ar-SA"/>
        </w:rPr>
      </w:pPr>
      <w:r>
        <w:rPr>
          <w:rStyle w:val="7"/>
          <w:rFonts w:hint="eastAsia" w:ascii="方正仿宋_GBK" w:hAnsi="方正仿宋_GBK" w:eastAsia="方正仿宋_GBK" w:cs="方正仿宋_GBK"/>
          <w:sz w:val="27"/>
          <w:szCs w:val="27"/>
        </w:rPr>
        <w:t xml:space="preserve"> </w:t>
      </w:r>
      <w:r>
        <w:rPr>
          <w:rFonts w:hint="eastAsia" w:ascii="方正仿宋_GBK" w:hAnsi="方正仿宋_GBK" w:eastAsia="方正仿宋_GBK" w:cs="方正仿宋_GBK"/>
          <w:kern w:val="2"/>
          <w:sz w:val="32"/>
          <w:szCs w:val="32"/>
          <w:lang w:val="en-US" w:eastAsia="zh-CN" w:bidi="ar-SA"/>
        </w:rPr>
        <w:t>从预算单位构成看，2024年度纳入本部门决算编制的二级预算单位主要包括：区民政局机关（本级）、区城市居民最低生活保障管理中心、区民政局婚姻登记处、区养老和社会福利服务中心、区救助管理站、区殡葬事业管理所。</w:t>
      </w:r>
    </w:p>
    <w:p w14:paraId="22279091">
      <w:pPr>
        <w:pStyle w:val="4"/>
        <w:numPr>
          <w:ilvl w:val="0"/>
          <w:numId w:val="0"/>
        </w:numPr>
        <w:shd w:val="clear" w:color="auto" w:fill="FFFFFF"/>
        <w:snapToGrid w:val="0"/>
        <w:ind w:firstLine="663" w:firstLineChars="200"/>
        <w:rPr>
          <w:rStyle w:val="7"/>
          <w:rFonts w:hint="eastAsia" w:ascii="方正黑体_GBK" w:hAnsi="方正黑体_GBK" w:eastAsia="方正黑体_GBK" w:cs="方正黑体_GBK"/>
          <w:sz w:val="33"/>
          <w:szCs w:val="33"/>
          <w:lang w:eastAsia="zh-CN"/>
        </w:rPr>
      </w:pPr>
      <w:r>
        <w:rPr>
          <w:rStyle w:val="7"/>
          <w:rFonts w:hint="eastAsia" w:ascii="方正黑体_GBK" w:hAnsi="方正黑体_GBK" w:eastAsia="方正黑体_GBK" w:cs="方正黑体_GBK"/>
          <w:sz w:val="33"/>
          <w:szCs w:val="33"/>
          <w:lang w:eastAsia="zh-CN"/>
        </w:rPr>
        <w:t>二、部门决算情况说明</w:t>
      </w:r>
    </w:p>
    <w:p w14:paraId="14AED156">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Style w:val="7"/>
          <w:rFonts w:hint="eastAsia"/>
          <w:sz w:val="27"/>
          <w:szCs w:val="27"/>
        </w:rPr>
      </w:pPr>
      <w:r>
        <w:rPr>
          <w:rFonts w:hint="eastAsia" w:ascii="宋体" w:hAnsi="宋体" w:eastAsia="方正楷体_GBK" w:cs="方正楷体_GBK"/>
          <w:kern w:val="2"/>
          <w:sz w:val="32"/>
          <w:szCs w:val="32"/>
          <w:lang w:val="en-US" w:eastAsia="zh-CN" w:bidi="ar-SA"/>
        </w:rPr>
        <w:t>（一）部门收支总体情况</w:t>
      </w:r>
    </w:p>
    <w:p w14:paraId="02F47FE6">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3"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b/>
          <w:bCs/>
          <w:kern w:val="2"/>
          <w:sz w:val="32"/>
          <w:szCs w:val="32"/>
          <w:lang w:val="en-US" w:eastAsia="zh-CN" w:bidi="ar-SA"/>
        </w:rPr>
        <w:t>1.收入支出总体情况。</w:t>
      </w:r>
      <w:r>
        <w:rPr>
          <w:rFonts w:hint="eastAsia" w:ascii="方正仿宋_GBK" w:hAnsi="方正仿宋_GBK" w:eastAsia="方正仿宋_GBK" w:cs="方正仿宋_GBK"/>
          <w:kern w:val="2"/>
          <w:sz w:val="32"/>
          <w:szCs w:val="32"/>
          <w:lang w:val="en-US" w:eastAsia="zh-CN" w:bidi="ar-SA"/>
        </w:rPr>
        <w:t>2024年度收入总计72620.93万元，支出总计72620.93万元。收支较上年决算数增加3463.44万元，增长5%。收入支出总计增加的</w:t>
      </w:r>
      <w:r>
        <w:rPr>
          <w:rFonts w:hint="eastAsia" w:ascii="方正仿宋_GBK" w:hAnsi="方正仿宋_GBK" w:eastAsia="方正仿宋_GBK" w:cs="方正仿宋_GBK"/>
          <w:kern w:val="2"/>
          <w:sz w:val="32"/>
          <w:szCs w:val="32"/>
        </w:rPr>
        <w:t>主要原因</w:t>
      </w:r>
      <w:r>
        <w:rPr>
          <w:rFonts w:hint="eastAsia" w:ascii="方正仿宋_GBK" w:hAnsi="方正仿宋_GBK" w:eastAsia="方正仿宋_GBK" w:cs="方正仿宋_GBK"/>
          <w:kern w:val="2"/>
          <w:sz w:val="32"/>
          <w:szCs w:val="32"/>
          <w:lang w:val="en-US" w:eastAsia="zh-CN"/>
        </w:rPr>
        <w:t>一是民政对象待遇调标增长；</w:t>
      </w:r>
      <w:r>
        <w:rPr>
          <w:rFonts w:hint="eastAsia" w:ascii="方正仿宋_GBK" w:hAnsi="方正仿宋_GBK" w:eastAsia="方正仿宋_GBK" w:cs="方正仿宋_GBK"/>
          <w:kern w:val="2"/>
          <w:sz w:val="32"/>
          <w:szCs w:val="32"/>
          <w:lang w:val="en-US" w:eastAsia="zh-CN" w:bidi="ar-SA"/>
        </w:rPr>
        <w:t>二是本年低保、特困对象国庆节发放一次性生活补贴;三</w:t>
      </w:r>
      <w:r>
        <w:rPr>
          <w:rFonts w:hint="eastAsia" w:ascii="方正仿宋_GBK" w:hAnsi="方正仿宋_GBK" w:eastAsia="方正仿宋_GBK" w:cs="方正仿宋_GBK"/>
          <w:kern w:val="2"/>
          <w:sz w:val="32"/>
          <w:szCs w:val="32"/>
          <w:lang w:val="en-US" w:eastAsia="zh-CN"/>
        </w:rPr>
        <w:t>是村（社区）干部补贴支出，因建制调整增加。</w:t>
      </w:r>
    </w:p>
    <w:p w14:paraId="2CEBA15F">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3" w:firstLineChars="200"/>
        <w:textAlignment w:val="auto"/>
        <w:rPr>
          <w:rFonts w:hint="default" w:ascii="方正仿宋_GBK" w:eastAsia="方正仿宋_GBK" w:cs="仿宋_GB2312" w:hAnsiTheme="minorHAnsi"/>
          <w:kern w:val="2"/>
          <w:sz w:val="32"/>
          <w:szCs w:val="32"/>
          <w:lang w:val="en-US" w:eastAsia="zh-CN"/>
        </w:rPr>
      </w:pPr>
      <w:r>
        <w:rPr>
          <w:rFonts w:hint="eastAsia" w:ascii="方正仿宋_GBK" w:hAnsi="方正仿宋_GBK" w:eastAsia="方正仿宋_GBK" w:cs="方正仿宋_GBK"/>
          <w:b/>
          <w:bCs/>
          <w:kern w:val="2"/>
          <w:sz w:val="32"/>
          <w:szCs w:val="32"/>
          <w:lang w:val="en-US" w:eastAsia="zh-CN" w:bidi="ar-SA"/>
        </w:rPr>
        <w:t>2.收入情况。</w:t>
      </w:r>
      <w:r>
        <w:rPr>
          <w:rFonts w:hint="eastAsia" w:ascii="方正仿宋_GBK" w:hAnsi="方正仿宋_GBK" w:eastAsia="方正仿宋_GBK" w:cs="方正仿宋_GBK"/>
          <w:kern w:val="2"/>
          <w:sz w:val="32"/>
          <w:szCs w:val="32"/>
          <w:lang w:val="en-US" w:eastAsia="zh-CN" w:bidi="ar-SA"/>
        </w:rPr>
        <w:t>2024年度收入合计72596.25万元，较上年决算数增加3438.76万元，增长5%。</w:t>
      </w:r>
      <w:r>
        <w:rPr>
          <w:rFonts w:hint="eastAsia" w:ascii="方正仿宋_GBK" w:hAnsi="方正仿宋_GBK" w:eastAsia="方正仿宋_GBK" w:cs="方正仿宋_GBK"/>
          <w:kern w:val="2"/>
          <w:sz w:val="32"/>
          <w:szCs w:val="32"/>
        </w:rPr>
        <w:t>主要原因</w:t>
      </w:r>
      <w:r>
        <w:rPr>
          <w:rFonts w:hint="eastAsia" w:ascii="方正仿宋_GBK" w:hAnsi="方正仿宋_GBK" w:eastAsia="方正仿宋_GBK" w:cs="方正仿宋_GBK"/>
          <w:kern w:val="2"/>
          <w:sz w:val="32"/>
          <w:szCs w:val="32"/>
          <w:lang w:val="en-US" w:eastAsia="zh-CN"/>
        </w:rPr>
        <w:t>一是民政对象待遇调标增长；</w:t>
      </w:r>
      <w:r>
        <w:rPr>
          <w:rFonts w:hint="eastAsia" w:ascii="方正仿宋_GBK" w:hAnsi="方正仿宋_GBK" w:eastAsia="方正仿宋_GBK" w:cs="方正仿宋_GBK"/>
          <w:kern w:val="2"/>
          <w:sz w:val="32"/>
          <w:szCs w:val="32"/>
          <w:lang w:val="en-US" w:eastAsia="zh-CN" w:bidi="ar-SA"/>
        </w:rPr>
        <w:t>二是本年低保、特困对象国庆节发放一次性生活补贴;三</w:t>
      </w:r>
      <w:r>
        <w:rPr>
          <w:rFonts w:hint="eastAsia" w:ascii="方正仿宋_GBK" w:hAnsi="方正仿宋_GBK" w:eastAsia="方正仿宋_GBK" w:cs="方正仿宋_GBK"/>
          <w:kern w:val="2"/>
          <w:sz w:val="32"/>
          <w:szCs w:val="32"/>
          <w:lang w:val="en-US" w:eastAsia="zh-CN"/>
        </w:rPr>
        <w:t>是村（社区）干部补贴支出，因建制调整增加。</w:t>
      </w:r>
    </w:p>
    <w:p w14:paraId="4E7C6D79">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3"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3.支出情况。</w:t>
      </w:r>
      <w:r>
        <w:rPr>
          <w:rFonts w:hint="eastAsia" w:ascii="方正仿宋_GBK" w:hAnsi="方正仿宋_GBK" w:eastAsia="方正仿宋_GBK" w:cs="方正仿宋_GBK"/>
          <w:kern w:val="2"/>
          <w:sz w:val="32"/>
          <w:szCs w:val="32"/>
          <w:lang w:val="en-US" w:eastAsia="zh-CN" w:bidi="ar-SA"/>
        </w:rPr>
        <w:t>2024年度支出合计72592.86万元，较上年决算数增加3460.05万元，增长5%。</w:t>
      </w:r>
      <w:r>
        <w:rPr>
          <w:rFonts w:hint="eastAsia" w:ascii="方正仿宋_GBK" w:hAnsi="方正仿宋_GBK" w:eastAsia="方正仿宋_GBK" w:cs="方正仿宋_GBK"/>
          <w:kern w:val="2"/>
          <w:sz w:val="32"/>
          <w:szCs w:val="32"/>
        </w:rPr>
        <w:t>主要原因</w:t>
      </w:r>
      <w:r>
        <w:rPr>
          <w:rFonts w:hint="eastAsia" w:ascii="方正仿宋_GBK" w:hAnsi="方正仿宋_GBK" w:eastAsia="方正仿宋_GBK" w:cs="方正仿宋_GBK"/>
          <w:kern w:val="2"/>
          <w:sz w:val="32"/>
          <w:szCs w:val="32"/>
          <w:lang w:val="en-US" w:eastAsia="zh-CN"/>
        </w:rPr>
        <w:t>一是民政对象待遇调标增长；</w:t>
      </w:r>
      <w:r>
        <w:rPr>
          <w:rFonts w:hint="eastAsia" w:ascii="方正仿宋_GBK" w:hAnsi="方正仿宋_GBK" w:eastAsia="方正仿宋_GBK" w:cs="方正仿宋_GBK"/>
          <w:kern w:val="2"/>
          <w:sz w:val="32"/>
          <w:szCs w:val="32"/>
          <w:lang w:val="en-US" w:eastAsia="zh-CN" w:bidi="ar-SA"/>
        </w:rPr>
        <w:t>二是本年低保、特困对象国庆节发放一次性生活补贴;三</w:t>
      </w:r>
      <w:r>
        <w:rPr>
          <w:rFonts w:hint="eastAsia" w:ascii="方正仿宋_GBK" w:hAnsi="方正仿宋_GBK" w:eastAsia="方正仿宋_GBK" w:cs="方正仿宋_GBK"/>
          <w:kern w:val="2"/>
          <w:sz w:val="32"/>
          <w:szCs w:val="32"/>
          <w:lang w:val="en-US" w:eastAsia="zh-CN"/>
        </w:rPr>
        <w:t>是村（社区）干部补贴支出，因建制调整增加。</w:t>
      </w:r>
      <w:r>
        <w:rPr>
          <w:rFonts w:hint="eastAsia" w:ascii="方正仿宋_GBK" w:hAnsi="方正仿宋_GBK" w:eastAsia="方正仿宋_GBK" w:cs="方正仿宋_GBK"/>
          <w:kern w:val="2"/>
          <w:sz w:val="32"/>
          <w:szCs w:val="32"/>
          <w:lang w:val="en-US" w:eastAsia="zh-CN" w:bidi="ar-SA"/>
        </w:rPr>
        <w:t>其中：基本支出2428.58万元，占支出的3.35%；项目支出70164.28万元，占支出的96.65%。</w:t>
      </w:r>
    </w:p>
    <w:p w14:paraId="12027163">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3"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kern w:val="2"/>
          <w:sz w:val="32"/>
          <w:szCs w:val="32"/>
          <w:lang w:val="en-US" w:eastAsia="zh-CN" w:bidi="ar-SA"/>
        </w:rPr>
        <w:t>4.结转结余情况。</w:t>
      </w:r>
      <w:r>
        <w:rPr>
          <w:rFonts w:hint="eastAsia" w:ascii="方正仿宋_GBK" w:hAnsi="方正仿宋_GBK" w:eastAsia="方正仿宋_GBK" w:cs="方正仿宋_GBK"/>
          <w:kern w:val="2"/>
          <w:sz w:val="32"/>
          <w:szCs w:val="32"/>
          <w:lang w:val="en-US" w:eastAsia="zh-CN" w:bidi="ar-SA"/>
        </w:rPr>
        <w:t>2024年度年末结转资金28.07万元，较上年决算数增加3.39万元，增长13.74%。</w:t>
      </w:r>
      <w:r>
        <w:rPr>
          <w:rFonts w:hint="eastAsia" w:ascii="方正仿宋_GBK" w:hAnsi="方正仿宋_GBK" w:eastAsia="方正仿宋_GBK" w:cs="方正仿宋_GBK"/>
          <w:sz w:val="32"/>
          <w:szCs w:val="32"/>
          <w:highlight w:val="none"/>
          <w:lang w:val="en-US" w:eastAsia="zh-CN"/>
        </w:rPr>
        <w:t>本年结转资金</w:t>
      </w:r>
      <w:r>
        <w:rPr>
          <w:rFonts w:hint="eastAsia" w:ascii="方正仿宋_GBK" w:hAnsi="方正仿宋_GBK" w:eastAsia="方正仿宋_GBK" w:cs="方正仿宋_GBK"/>
          <w:sz w:val="32"/>
          <w:szCs w:val="32"/>
          <w:highlight w:val="none"/>
        </w:rPr>
        <w:t>是</w:t>
      </w:r>
      <w:r>
        <w:rPr>
          <w:rFonts w:hint="eastAsia" w:ascii="方正仿宋_GBK" w:hAnsi="方正仿宋_GBK" w:eastAsia="方正仿宋_GBK" w:cs="方正仿宋_GBK"/>
          <w:sz w:val="32"/>
          <w:szCs w:val="32"/>
          <w:highlight w:val="none"/>
          <w:lang w:val="en-US" w:eastAsia="zh-CN"/>
        </w:rPr>
        <w:t>非财政补助拨款结转，主要构成：一是上年结转</w:t>
      </w:r>
      <w:r>
        <w:rPr>
          <w:rFonts w:hint="eastAsia" w:ascii="方正仿宋_GBK" w:hAnsi="方正仿宋_GBK" w:eastAsia="方正仿宋_GBK" w:cs="方正仿宋_GBK"/>
          <w:sz w:val="32"/>
          <w:szCs w:val="32"/>
          <w:highlight w:val="none"/>
        </w:rPr>
        <w:t>市民政局拨来居家和社区基本养老服务提升行动项目24万元</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二是上年结转市民政局拨来</w:t>
      </w:r>
      <w:r>
        <w:rPr>
          <w:rFonts w:hint="eastAsia" w:ascii="方正仿宋_GBK" w:hAnsi="方正仿宋_GBK" w:eastAsia="方正仿宋_GBK" w:cs="方正仿宋_GBK"/>
          <w:sz w:val="32"/>
          <w:szCs w:val="32"/>
          <w:highlight w:val="none"/>
        </w:rPr>
        <w:t>省级行政区划界桩管护费</w:t>
      </w:r>
      <w:r>
        <w:rPr>
          <w:rFonts w:hint="eastAsia" w:ascii="方正仿宋_GBK" w:hAnsi="方正仿宋_GBK" w:eastAsia="方正仿宋_GBK" w:cs="方正仿宋_GBK"/>
          <w:sz w:val="32"/>
          <w:szCs w:val="32"/>
          <w:highlight w:val="none"/>
          <w:lang w:val="en-US" w:eastAsia="zh-CN"/>
        </w:rPr>
        <w:t>0.32万</w:t>
      </w:r>
      <w:r>
        <w:rPr>
          <w:rFonts w:hint="eastAsia" w:ascii="方正仿宋_GBK" w:hAnsi="方正仿宋_GBK" w:eastAsia="方正仿宋_GBK" w:cs="方正仿宋_GBK"/>
          <w:sz w:val="32"/>
          <w:szCs w:val="32"/>
          <w:highlight w:val="none"/>
        </w:rPr>
        <w:t>元</w:t>
      </w:r>
      <w:r>
        <w:rPr>
          <w:rFonts w:hint="eastAsia" w:ascii="方正仿宋_GBK" w:hAnsi="方正仿宋_GBK" w:eastAsia="方正仿宋_GBK" w:cs="方正仿宋_GBK"/>
          <w:sz w:val="32"/>
          <w:szCs w:val="32"/>
          <w:highlight w:val="none"/>
          <w:lang w:eastAsia="zh-CN"/>
        </w:rPr>
        <w:t>；三是本年市福彩中心转来福彩民心亭协管经费</w:t>
      </w:r>
      <w:r>
        <w:rPr>
          <w:rFonts w:hint="eastAsia" w:ascii="方正仿宋_GBK" w:hAnsi="方正仿宋_GBK" w:eastAsia="方正仿宋_GBK" w:cs="方正仿宋_GBK"/>
          <w:sz w:val="32"/>
          <w:szCs w:val="32"/>
          <w:highlight w:val="none"/>
          <w:lang w:val="en-US" w:eastAsia="zh-CN"/>
        </w:rPr>
        <w:t>3.75万元</w:t>
      </w:r>
      <w:r>
        <w:rPr>
          <w:rFonts w:hint="eastAsia" w:ascii="方正仿宋_GBK" w:hAnsi="方正仿宋_GBK" w:eastAsia="方正仿宋_GBK" w:cs="方正仿宋_GBK"/>
          <w:sz w:val="32"/>
          <w:szCs w:val="32"/>
          <w:highlight w:val="none"/>
          <w:lang w:eastAsia="zh-CN"/>
        </w:rPr>
        <w:t>。</w:t>
      </w:r>
    </w:p>
    <w:p w14:paraId="7C8C339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（二）财政拨款收入支出决算总体情况说明</w:t>
      </w:r>
    </w:p>
    <w:p w14:paraId="4CCC3285">
      <w:pPr>
        <w:pStyle w:val="4"/>
        <w:keepNext w:val="0"/>
        <w:keepLines w:val="0"/>
        <w:pageBreakBefore w:val="0"/>
        <w:shd w:val="clear" w:color="auto" w:fill="FFFFFF"/>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kern w:val="2"/>
          <w:sz w:val="32"/>
          <w:szCs w:val="32"/>
          <w:lang w:val="en-US" w:eastAsia="zh-CN" w:bidi="ar-SA"/>
        </w:rPr>
      </w:pPr>
      <w:r>
        <w:rPr>
          <w:rFonts w:hint="eastAsia"/>
          <w:sz w:val="27"/>
          <w:szCs w:val="27"/>
        </w:rPr>
        <w:t xml:space="preserve">  </w:t>
      </w:r>
      <w:r>
        <w:rPr>
          <w:rFonts w:hint="eastAsia"/>
          <w:sz w:val="27"/>
          <w:szCs w:val="27"/>
          <w:lang w:val="en-US" w:eastAsia="zh-CN"/>
        </w:rPr>
        <w:t xml:space="preserve"> </w:t>
      </w:r>
      <w:r>
        <w:rPr>
          <w:rFonts w:hint="eastAsia" w:ascii="方正仿宋_GBK" w:hAnsi="方正仿宋_GBK" w:eastAsia="方正仿宋_GBK" w:cs="方正仿宋_GBK"/>
          <w:kern w:val="2"/>
          <w:sz w:val="32"/>
          <w:szCs w:val="32"/>
          <w:lang w:val="en-US" w:eastAsia="zh-CN" w:bidi="ar-SA"/>
        </w:rPr>
        <w:t>2024年度财政拨款收、支总计72580.39万元。</w:t>
      </w:r>
      <w:r>
        <w:rPr>
          <w:rFonts w:hint="eastAsia" w:ascii="方正仿宋_GBK" w:hAnsi="方正仿宋_GBK" w:eastAsia="方正仿宋_GBK" w:cs="方正仿宋_GBK"/>
          <w:kern w:val="2"/>
          <w:sz w:val="32"/>
          <w:szCs w:val="32"/>
          <w:highlight w:val="none"/>
          <w:lang w:val="en-US" w:eastAsia="zh-CN" w:bidi="ar-SA"/>
        </w:rPr>
        <w:t>与上年相比，财政拨款收、支总计各增加3447.58万元，增长5%。</w:t>
      </w:r>
      <w:r>
        <w:rPr>
          <w:rFonts w:hint="eastAsia" w:ascii="方正仿宋_GBK" w:hAnsi="方正仿宋_GBK" w:eastAsia="方正仿宋_GBK" w:cs="方正仿宋_GBK"/>
          <w:kern w:val="2"/>
          <w:sz w:val="32"/>
          <w:szCs w:val="32"/>
        </w:rPr>
        <w:t>主要原因</w:t>
      </w:r>
      <w:r>
        <w:rPr>
          <w:rFonts w:hint="eastAsia" w:ascii="方正仿宋_GBK" w:hAnsi="方正仿宋_GBK" w:eastAsia="方正仿宋_GBK" w:cs="方正仿宋_GBK"/>
          <w:kern w:val="2"/>
          <w:sz w:val="32"/>
          <w:szCs w:val="32"/>
          <w:lang w:val="en-US" w:eastAsia="zh-CN"/>
        </w:rPr>
        <w:t>一是民政对象待遇调标增长；</w:t>
      </w:r>
      <w:r>
        <w:rPr>
          <w:rFonts w:hint="eastAsia" w:ascii="方正仿宋_GBK" w:hAnsi="方正仿宋_GBK" w:eastAsia="方正仿宋_GBK" w:cs="方正仿宋_GBK"/>
          <w:kern w:val="2"/>
          <w:sz w:val="32"/>
          <w:szCs w:val="32"/>
          <w:lang w:val="en-US" w:eastAsia="zh-CN" w:bidi="ar-SA"/>
        </w:rPr>
        <w:t>二是本年低保、特困对象国庆节发放一次性生活补贴;三</w:t>
      </w:r>
      <w:r>
        <w:rPr>
          <w:rFonts w:hint="eastAsia" w:ascii="方正仿宋_GBK" w:hAnsi="方正仿宋_GBK" w:eastAsia="方正仿宋_GBK" w:cs="方正仿宋_GBK"/>
          <w:kern w:val="2"/>
          <w:sz w:val="32"/>
          <w:szCs w:val="32"/>
          <w:lang w:val="en-US" w:eastAsia="zh-CN"/>
        </w:rPr>
        <w:t>是村（社区）干部补贴支出，因建制调整增加。</w:t>
      </w:r>
    </w:p>
    <w:p w14:paraId="37EE586D">
      <w:pPr>
        <w:pStyle w:val="4"/>
        <w:keepNext w:val="0"/>
        <w:keepLines w:val="0"/>
        <w:pageBreakBefore w:val="0"/>
        <w:numPr>
          <w:ilvl w:val="0"/>
          <w:numId w:val="1"/>
        </w:numPr>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方正楷体_GBK" w:cs="方正楷体_GBK"/>
          <w:kern w:val="2"/>
          <w:sz w:val="32"/>
          <w:szCs w:val="32"/>
          <w:lang w:val="en-US" w:eastAsia="zh-CN" w:bidi="ar-SA"/>
        </w:rPr>
      </w:pPr>
      <w:r>
        <w:rPr>
          <w:rFonts w:hint="eastAsia" w:ascii="宋体" w:hAnsi="宋体" w:eastAsia="方正楷体_GBK" w:cs="方正楷体_GBK"/>
          <w:kern w:val="2"/>
          <w:sz w:val="32"/>
          <w:szCs w:val="32"/>
          <w:lang w:val="en-US" w:eastAsia="zh-CN" w:bidi="ar-SA"/>
        </w:rPr>
        <w:t>一般公共预算财政拨款支出决算情况说明</w:t>
      </w:r>
    </w:p>
    <w:p w14:paraId="06CF8DF2">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kern w:val="2"/>
          <w:sz w:val="32"/>
          <w:szCs w:val="32"/>
          <w:lang w:val="en-US" w:eastAsia="zh-CN" w:bidi="ar-SA"/>
        </w:rPr>
        <w:t>1.收入情况。</w:t>
      </w:r>
      <w:r>
        <w:rPr>
          <w:rFonts w:hint="eastAsia" w:ascii="方正仿宋_GBK" w:hAnsi="方正仿宋_GBK" w:eastAsia="方正仿宋_GBK" w:cs="方正仿宋_GBK"/>
          <w:kern w:val="2"/>
          <w:sz w:val="32"/>
          <w:szCs w:val="32"/>
          <w:lang w:val="en-US" w:eastAsia="zh-CN" w:bidi="ar-SA"/>
        </w:rPr>
        <w:t>2024年度一般公共预算财政拨款收入70953.37万元，较上年决算数增加3524.33万元，增长5.23%。</w:t>
      </w:r>
      <w:r>
        <w:rPr>
          <w:rFonts w:hint="eastAsia" w:ascii="方正仿宋_GBK" w:hAnsi="方正仿宋_GBK" w:eastAsia="方正仿宋_GBK" w:cs="方正仿宋_GBK"/>
          <w:kern w:val="2"/>
          <w:sz w:val="32"/>
          <w:szCs w:val="32"/>
        </w:rPr>
        <w:t>主要原因</w:t>
      </w:r>
      <w:r>
        <w:rPr>
          <w:rFonts w:hint="eastAsia" w:ascii="方正仿宋_GBK" w:hAnsi="方正仿宋_GBK" w:eastAsia="方正仿宋_GBK" w:cs="方正仿宋_GBK"/>
          <w:kern w:val="2"/>
          <w:sz w:val="32"/>
          <w:szCs w:val="32"/>
          <w:lang w:val="en-US" w:eastAsia="zh-CN"/>
        </w:rPr>
        <w:t>一是民政对象待遇调标增长；</w:t>
      </w:r>
      <w:r>
        <w:rPr>
          <w:rFonts w:hint="eastAsia" w:ascii="方正仿宋_GBK" w:hAnsi="方正仿宋_GBK" w:eastAsia="方正仿宋_GBK" w:cs="方正仿宋_GBK"/>
          <w:kern w:val="2"/>
          <w:sz w:val="32"/>
          <w:szCs w:val="32"/>
          <w:lang w:val="en-US" w:eastAsia="zh-CN" w:bidi="ar-SA"/>
        </w:rPr>
        <w:t>二是本年低保、特困对象国庆节发放一次性生活补贴;三</w:t>
      </w:r>
      <w:r>
        <w:rPr>
          <w:rFonts w:hint="eastAsia" w:ascii="方正仿宋_GBK" w:hAnsi="方正仿宋_GBK" w:eastAsia="方正仿宋_GBK" w:cs="方正仿宋_GBK"/>
          <w:kern w:val="2"/>
          <w:sz w:val="32"/>
          <w:szCs w:val="32"/>
          <w:lang w:val="en-US" w:eastAsia="zh-CN"/>
        </w:rPr>
        <w:t>是村（社区）干部补贴支出，因建制调整增加。</w:t>
      </w:r>
      <w:r>
        <w:rPr>
          <w:rFonts w:hint="eastAsia" w:ascii="方正仿宋_GBK" w:hAnsi="方正仿宋_GBK" w:eastAsia="方正仿宋_GBK" w:cs="方正仿宋_GBK"/>
          <w:kern w:val="2"/>
          <w:sz w:val="32"/>
          <w:szCs w:val="32"/>
          <w:lang w:val="en-US" w:eastAsia="zh-CN" w:bidi="ar-SA"/>
        </w:rPr>
        <w:t>较年初预算数增加220.32万元，增长0.31%。</w:t>
      </w:r>
      <w:r>
        <w:rPr>
          <w:rFonts w:hint="eastAsia" w:ascii="方正仿宋_GBK" w:hAnsi="方正仿宋_GBK" w:eastAsia="方正仿宋_GBK" w:cs="方正仿宋_GBK"/>
          <w:kern w:val="2"/>
          <w:sz w:val="32"/>
          <w:szCs w:val="32"/>
        </w:rPr>
        <w:t>主要原因</w:t>
      </w:r>
      <w:r>
        <w:rPr>
          <w:rFonts w:hint="eastAsia" w:ascii="方正仿宋_GBK" w:hAnsi="方正仿宋_GBK" w:eastAsia="方正仿宋_GBK" w:cs="方正仿宋_GBK"/>
          <w:kern w:val="2"/>
          <w:sz w:val="32"/>
          <w:szCs w:val="32"/>
          <w:lang w:val="en-US" w:eastAsia="zh-CN" w:bidi="ar-SA"/>
        </w:rPr>
        <w:t>本年低保、特困对象国庆节发放一次性生活补贴。</w:t>
      </w:r>
    </w:p>
    <w:p w14:paraId="4772D37E">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kern w:val="2"/>
          <w:sz w:val="32"/>
          <w:szCs w:val="32"/>
          <w:lang w:val="en-US" w:eastAsia="zh-CN" w:bidi="ar-SA"/>
        </w:rPr>
        <w:t>2.支出情况。</w:t>
      </w:r>
      <w:r>
        <w:rPr>
          <w:rFonts w:hint="eastAsia" w:ascii="方正仿宋_GBK" w:hAnsi="方正仿宋_GBK" w:eastAsia="方正仿宋_GBK" w:cs="方正仿宋_GBK"/>
          <w:kern w:val="2"/>
          <w:sz w:val="32"/>
          <w:szCs w:val="32"/>
          <w:lang w:val="en-US" w:eastAsia="zh-CN" w:bidi="ar-SA"/>
        </w:rPr>
        <w:t>2024年度一般公共预算财政拨款支出70953.37万元，较上年决算数增加3524.33万元，增长5.23%。</w:t>
      </w:r>
      <w:r>
        <w:rPr>
          <w:rFonts w:hint="eastAsia" w:ascii="方正仿宋_GBK" w:hAnsi="方正仿宋_GBK" w:eastAsia="方正仿宋_GBK" w:cs="方正仿宋_GBK"/>
          <w:kern w:val="2"/>
          <w:sz w:val="32"/>
          <w:szCs w:val="32"/>
        </w:rPr>
        <w:t>主要原因</w:t>
      </w:r>
      <w:r>
        <w:rPr>
          <w:rFonts w:hint="eastAsia" w:ascii="方正仿宋_GBK" w:hAnsi="方正仿宋_GBK" w:eastAsia="方正仿宋_GBK" w:cs="方正仿宋_GBK"/>
          <w:kern w:val="2"/>
          <w:sz w:val="32"/>
          <w:szCs w:val="32"/>
          <w:lang w:val="en-US" w:eastAsia="zh-CN"/>
        </w:rPr>
        <w:t>一是民政对象待遇调标增长；</w:t>
      </w:r>
      <w:r>
        <w:rPr>
          <w:rFonts w:hint="eastAsia" w:ascii="方正仿宋_GBK" w:hAnsi="方正仿宋_GBK" w:eastAsia="方正仿宋_GBK" w:cs="方正仿宋_GBK"/>
          <w:kern w:val="2"/>
          <w:sz w:val="32"/>
          <w:szCs w:val="32"/>
          <w:lang w:val="en-US" w:eastAsia="zh-CN" w:bidi="ar-SA"/>
        </w:rPr>
        <w:t>二是本年低保、特困对象国庆节发放一次性生活补贴;三</w:t>
      </w:r>
      <w:r>
        <w:rPr>
          <w:rFonts w:hint="eastAsia" w:ascii="方正仿宋_GBK" w:hAnsi="方正仿宋_GBK" w:eastAsia="方正仿宋_GBK" w:cs="方正仿宋_GBK"/>
          <w:kern w:val="2"/>
          <w:sz w:val="32"/>
          <w:szCs w:val="32"/>
          <w:lang w:val="en-US" w:eastAsia="zh-CN"/>
        </w:rPr>
        <w:t>是村（社区）干部补贴支出，因建制调整增加。</w:t>
      </w:r>
      <w:r>
        <w:rPr>
          <w:rFonts w:hint="eastAsia" w:ascii="方正仿宋_GBK" w:hAnsi="方正仿宋_GBK" w:eastAsia="方正仿宋_GBK" w:cs="方正仿宋_GBK"/>
          <w:kern w:val="2"/>
          <w:sz w:val="32"/>
          <w:szCs w:val="32"/>
          <w:lang w:val="en-US" w:eastAsia="zh-CN" w:bidi="ar-SA"/>
        </w:rPr>
        <w:t>较年初预算数增加220.32万元，增长0.31%。</w:t>
      </w:r>
      <w:r>
        <w:rPr>
          <w:rFonts w:hint="eastAsia" w:ascii="方正仿宋_GBK" w:hAnsi="方正仿宋_GBK" w:eastAsia="方正仿宋_GBK" w:cs="方正仿宋_GBK"/>
          <w:kern w:val="2"/>
          <w:sz w:val="32"/>
          <w:szCs w:val="32"/>
        </w:rPr>
        <w:t>主要原因</w:t>
      </w:r>
      <w:r>
        <w:rPr>
          <w:rFonts w:hint="eastAsia" w:ascii="方正仿宋_GBK" w:hAnsi="方正仿宋_GBK" w:eastAsia="方正仿宋_GBK" w:cs="方正仿宋_GBK"/>
          <w:kern w:val="2"/>
          <w:sz w:val="32"/>
          <w:szCs w:val="32"/>
          <w:lang w:val="en-US" w:eastAsia="zh-CN" w:bidi="ar-SA"/>
        </w:rPr>
        <w:t>本年低保、特困对象国庆节发放一次性生活补贴。</w:t>
      </w:r>
    </w:p>
    <w:p w14:paraId="6C116CBF">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3" w:firstLineChars="200"/>
        <w:textAlignment w:val="auto"/>
        <w:rPr>
          <w:rFonts w:hint="eastAsia" w:eastAsia="方正仿宋_GBK" w:cs="Times New Roman"/>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3.结转结余情况。</w:t>
      </w:r>
      <w:r>
        <w:rPr>
          <w:rFonts w:hint="eastAsia" w:ascii="方正仿宋_GBK" w:hAnsi="方正仿宋_GBK" w:eastAsia="方正仿宋_GBK" w:cs="方正仿宋_GBK"/>
          <w:kern w:val="2"/>
          <w:sz w:val="32"/>
          <w:szCs w:val="32"/>
          <w:lang w:val="en-US" w:eastAsia="zh-CN" w:bidi="ar-SA"/>
        </w:rPr>
        <w:t>2024年度年末一般公共预算财政拨款结转0万元，与上年决算数无增减变化。</w:t>
      </w:r>
    </w:p>
    <w:p w14:paraId="4A42E243">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3"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4.比较情况。</w:t>
      </w:r>
      <w:r>
        <w:rPr>
          <w:rFonts w:hint="eastAsia" w:ascii="方正仿宋_GBK" w:hAnsi="方正仿宋_GBK" w:eastAsia="方正仿宋_GBK" w:cs="方正仿宋_GBK"/>
          <w:kern w:val="2"/>
          <w:sz w:val="32"/>
          <w:szCs w:val="32"/>
          <w:lang w:val="en-US" w:eastAsia="zh-CN" w:bidi="ar-SA"/>
        </w:rPr>
        <w:t>本部门2024年度一般公共预算财政拨款支出主要用于以下几个方面：</w:t>
      </w:r>
    </w:p>
    <w:p w14:paraId="2D960E87">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（1）教育支出8.04万元，较年初预算数减少2.43万元，下降23.21%。</w:t>
      </w:r>
    </w:p>
    <w:p w14:paraId="6D07D4A2">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（2）社会保障与就业支出56351.73万元，占79.42%，较年初预算数减少2148.40万元，下降3.67%。</w:t>
      </w:r>
      <w:r>
        <w:rPr>
          <w:rFonts w:hint="eastAsia" w:ascii="方正仿宋_GBK" w:hAnsi="方正仿宋_GBK" w:eastAsia="方正仿宋_GBK" w:cs="方正仿宋_GBK"/>
          <w:kern w:val="2"/>
          <w:sz w:val="32"/>
          <w:szCs w:val="32"/>
        </w:rPr>
        <w:t>主要原因是</w:t>
      </w:r>
      <w:r>
        <w:rPr>
          <w:rFonts w:hint="eastAsia" w:ascii="方正仿宋_GBK" w:hAnsi="方正仿宋_GBK" w:eastAsia="方正仿宋_GBK" w:cs="方正仿宋_GBK"/>
          <w:sz w:val="32"/>
          <w:szCs w:val="32"/>
          <w:lang w:val="en-US" w:eastAsia="zh-CN"/>
        </w:rPr>
        <w:t>严格落实过紧日子、苦日子思想，压减公用经费和项目支出。</w:t>
      </w:r>
    </w:p>
    <w:p w14:paraId="52E59B80">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bidi="ar-SA"/>
        </w:rPr>
        <w:t>（3）卫生健康支出2181.98万元，占3%，较年初预算数减少226.76万元，下降9.4%。</w:t>
      </w:r>
      <w:r>
        <w:rPr>
          <w:rFonts w:hint="eastAsia" w:ascii="方正仿宋_GBK" w:hAnsi="方正仿宋_GBK" w:eastAsia="方正仿宋_GBK" w:cs="方正仿宋_GBK"/>
          <w:kern w:val="2"/>
          <w:sz w:val="32"/>
          <w:szCs w:val="32"/>
        </w:rPr>
        <w:t>主要原因</w:t>
      </w:r>
      <w:r>
        <w:rPr>
          <w:rFonts w:hint="eastAsia" w:ascii="方正仿宋_GBK" w:hAnsi="方正仿宋_GBK" w:eastAsia="方正仿宋_GBK" w:cs="方正仿宋_GBK"/>
          <w:kern w:val="2"/>
          <w:sz w:val="32"/>
          <w:szCs w:val="32"/>
          <w:lang w:val="en-US" w:eastAsia="zh-CN"/>
        </w:rPr>
        <w:t>是享受高龄老年人补贴人数比年初预算减少。</w:t>
      </w:r>
    </w:p>
    <w:p w14:paraId="0BAE87B0">
      <w:pPr>
        <w:pStyle w:val="4"/>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kern w:val="2"/>
          <w:sz w:val="32"/>
          <w:szCs w:val="32"/>
          <w:highlight w:val="none"/>
          <w:lang w:val="en-US" w:eastAsia="zh-CN"/>
        </w:rPr>
      </w:pPr>
      <w:r>
        <w:rPr>
          <w:rFonts w:hint="eastAsia" w:ascii="方正仿宋_GBK" w:hAnsi="方正仿宋_GBK" w:eastAsia="方正仿宋_GBK" w:cs="方正仿宋_GBK"/>
          <w:kern w:val="2"/>
          <w:sz w:val="32"/>
          <w:szCs w:val="32"/>
          <w:lang w:val="en-US" w:eastAsia="zh-CN" w:bidi="ar-SA"/>
        </w:rPr>
        <w:t>（4）农林水支出12287.82万元，</w:t>
      </w:r>
      <w:r>
        <w:rPr>
          <w:rFonts w:hint="eastAsia" w:ascii="方正仿宋_GBK" w:hAnsi="方正仿宋_GBK" w:eastAsia="方正仿宋_GBK" w:cs="方正仿宋_GBK"/>
          <w:kern w:val="2"/>
          <w:sz w:val="32"/>
          <w:szCs w:val="32"/>
          <w:highlight w:val="none"/>
          <w:lang w:val="en-US" w:eastAsia="zh-CN" w:bidi="ar-SA"/>
        </w:rPr>
        <w:t>占17.32%，较年初预算数增加304.08万元，增长2.54%。</w:t>
      </w:r>
      <w:r>
        <w:rPr>
          <w:rFonts w:hint="eastAsia" w:ascii="方正仿宋_GBK" w:hAnsi="方正仿宋_GBK" w:eastAsia="方正仿宋_GBK" w:cs="方正仿宋_GBK"/>
          <w:kern w:val="2"/>
          <w:sz w:val="32"/>
          <w:szCs w:val="32"/>
          <w:highlight w:val="none"/>
        </w:rPr>
        <w:t>主要原因</w:t>
      </w:r>
      <w:r>
        <w:rPr>
          <w:rFonts w:hint="eastAsia" w:ascii="方正仿宋_GBK" w:hAnsi="方正仿宋_GBK" w:eastAsia="方正仿宋_GBK" w:cs="方正仿宋_GBK"/>
          <w:kern w:val="2"/>
          <w:sz w:val="32"/>
          <w:szCs w:val="32"/>
          <w:highlight w:val="none"/>
          <w:lang w:val="en-US" w:eastAsia="zh-CN"/>
        </w:rPr>
        <w:t>是年中追加项目资金：一是村（社区）监察监督员2023年考核奖励59.95万元；二</w:t>
      </w:r>
      <w:r>
        <w:rPr>
          <w:rFonts w:hint="eastAsia" w:ascii="方正仿宋_GBK" w:hAnsi="方正仿宋_GBK" w:eastAsia="方正仿宋_GBK" w:cs="方正仿宋_GBK"/>
          <w:kern w:val="2"/>
          <w:sz w:val="32"/>
          <w:szCs w:val="32"/>
          <w:lang w:val="en-US" w:eastAsia="zh-CN"/>
        </w:rPr>
        <w:t>是村（社区）干部补贴支出，因建制调整增加。</w:t>
      </w:r>
    </w:p>
    <w:p w14:paraId="78E7C1CE">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kern w:val="2"/>
          <w:sz w:val="32"/>
          <w:szCs w:val="32"/>
          <w:lang w:val="en-US" w:eastAsia="zh-CN" w:bidi="ar-SA"/>
        </w:rPr>
        <w:t>（5）住房保障支出123.79万元，较年初预算数减少3.41万元，下降2.69%。</w:t>
      </w:r>
    </w:p>
    <w:p w14:paraId="037166C8">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方正楷体_GBK" w:cs="方正楷体_GBK"/>
          <w:kern w:val="2"/>
          <w:sz w:val="32"/>
          <w:szCs w:val="32"/>
          <w:lang w:val="en-US" w:eastAsia="zh-CN" w:bidi="ar-SA"/>
        </w:rPr>
      </w:pPr>
      <w:r>
        <w:rPr>
          <w:rFonts w:hint="eastAsia" w:ascii="宋体" w:hAnsi="宋体" w:eastAsia="方正楷体_GBK" w:cs="方正楷体_GBK"/>
          <w:kern w:val="2"/>
          <w:sz w:val="32"/>
          <w:szCs w:val="32"/>
          <w:lang w:val="en-US" w:eastAsia="zh-CN" w:bidi="ar-SA"/>
        </w:rPr>
        <w:t>（四）一般公共预算财政拨款基本支出决算情况说明</w:t>
      </w:r>
    </w:p>
    <w:p w14:paraId="6590AAA1">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2024年度一般公共财政拨款基本支出2428.58万元。其中：人员经费2101.88万元，较上年决算数减少5.20万元，下降0.24%，主要原</w:t>
      </w:r>
      <w:r>
        <w:rPr>
          <w:rFonts w:hint="eastAsia" w:ascii="方正仿宋_GBK" w:hAnsi="方正仿宋_GBK" w:eastAsia="方正仿宋_GBK" w:cs="方正仿宋_GBK"/>
          <w:kern w:val="2"/>
          <w:sz w:val="32"/>
          <w:szCs w:val="32"/>
          <w:lang w:val="en-US" w:eastAsia="zh-CN"/>
        </w:rPr>
        <w:t>因本年有人员调出，人员工资减少。</w:t>
      </w:r>
      <w:r>
        <w:rPr>
          <w:rFonts w:hint="eastAsia" w:ascii="方正仿宋_GBK" w:hAnsi="方正仿宋_GBK" w:eastAsia="方正仿宋_GBK" w:cs="方正仿宋_GBK"/>
          <w:kern w:val="2"/>
          <w:sz w:val="32"/>
          <w:szCs w:val="32"/>
          <w:lang w:val="en-US" w:eastAsia="zh-CN" w:bidi="ar-SA"/>
        </w:rPr>
        <w:t>人员经费用途主要包括基本工资、津贴补贴、奖金、绩效工资、社会保障缴费、住房公积金、离退休费、生活补助等。公用经费326.70万元，较上年决算数减少46.05万元，下降12.35%，主要原因是坚决落实过紧日子、苦日子思想，压减支出。公用经费用途主要包括办公费、印刷费、水费、电费、邮电费、维修（护）费、差旅费、公务接待费、会议费、培训费、工会经费、福利费、公车运行和维护费、其他交通费、其他商品和服务支出等。</w:t>
      </w:r>
    </w:p>
    <w:p w14:paraId="4CEA22CB">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（五）政府性基金预算收支决算情况说明</w:t>
      </w:r>
    </w:p>
    <w:p w14:paraId="6E3901DD">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仿宋_GBK" w:cs="Times New Roman"/>
          <w:kern w:val="2"/>
          <w:sz w:val="32"/>
          <w:szCs w:val="32"/>
          <w:lang w:val="en-US" w:eastAsia="zh-CN" w:bidi="ar-SA"/>
        </w:rPr>
        <w:t xml:space="preserve"> </w:t>
      </w:r>
      <w:r>
        <w:rPr>
          <w:rFonts w:hint="eastAsia" w:ascii="方正仿宋_GBK" w:hAnsi="方正仿宋_GBK" w:eastAsia="方正仿宋_GBK" w:cs="方正仿宋_GBK"/>
          <w:kern w:val="2"/>
          <w:sz w:val="32"/>
          <w:szCs w:val="32"/>
          <w:lang w:val="en-US" w:eastAsia="zh-CN" w:bidi="ar-SA"/>
        </w:rPr>
        <w:t>2024年度政府性基金预算财政拨款年初结转资金0万元，年末结转结余0万元。本年收入1627.03万元，较上年决算数减少76.68万元，下降4.5%。</w:t>
      </w:r>
      <w:r>
        <w:rPr>
          <w:rFonts w:hint="eastAsia" w:ascii="方正仿宋_GBK" w:hAnsi="方正仿宋_GBK" w:eastAsia="方正仿宋_GBK" w:cs="方正仿宋_GBK"/>
          <w:kern w:val="2"/>
          <w:sz w:val="32"/>
          <w:szCs w:val="32"/>
        </w:rPr>
        <w:t>主要原因是</w:t>
      </w:r>
      <w:r>
        <w:rPr>
          <w:rFonts w:hint="eastAsia" w:ascii="方正仿宋_GBK" w:hAnsi="方正仿宋_GBK" w:eastAsia="方正仿宋_GBK" w:cs="方正仿宋_GBK"/>
          <w:kern w:val="2"/>
          <w:sz w:val="32"/>
          <w:szCs w:val="32"/>
          <w:lang w:eastAsia="zh-CN"/>
        </w:rPr>
        <w:t>受</w:t>
      </w:r>
      <w:r>
        <w:rPr>
          <w:rFonts w:hint="eastAsia" w:ascii="方正仿宋_GBK" w:hAnsi="方正仿宋_GBK" w:eastAsia="方正仿宋_GBK" w:cs="方正仿宋_GBK"/>
          <w:kern w:val="2"/>
          <w:sz w:val="32"/>
          <w:szCs w:val="32"/>
          <w:lang w:val="en-US" w:eastAsia="zh-CN"/>
        </w:rPr>
        <w:t>经济下形影响，本年收入减少</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kern w:val="2"/>
          <w:sz w:val="32"/>
          <w:szCs w:val="32"/>
          <w:lang w:val="en-US" w:eastAsia="zh-CN" w:bidi="ar-SA"/>
        </w:rPr>
        <w:t>本年支出1627.03万元，较上年决算数减少76.68万元，下降4.5%。</w:t>
      </w:r>
      <w:r>
        <w:rPr>
          <w:rFonts w:hint="eastAsia" w:ascii="方正仿宋_GBK" w:hAnsi="方正仿宋_GBK" w:eastAsia="方正仿宋_GBK" w:cs="方正仿宋_GBK"/>
          <w:kern w:val="2"/>
          <w:sz w:val="32"/>
          <w:szCs w:val="32"/>
        </w:rPr>
        <w:t>主要原因是</w:t>
      </w:r>
      <w:r>
        <w:rPr>
          <w:rFonts w:hint="eastAsia" w:ascii="方正仿宋_GBK" w:hAnsi="方正仿宋_GBK" w:eastAsia="方正仿宋_GBK" w:cs="方正仿宋_GBK"/>
          <w:sz w:val="32"/>
          <w:szCs w:val="32"/>
          <w:lang w:val="en-US" w:eastAsia="zh-CN"/>
        </w:rPr>
        <w:t>本年项目未完工验收，实际未付款，未列报支出</w:t>
      </w:r>
      <w:r>
        <w:rPr>
          <w:rFonts w:hint="eastAsia" w:ascii="方正仿宋_GBK" w:hAnsi="方正仿宋_GBK" w:eastAsia="方正仿宋_GBK" w:cs="方正仿宋_GBK"/>
          <w:kern w:val="2"/>
          <w:sz w:val="32"/>
          <w:szCs w:val="32"/>
        </w:rPr>
        <w:t>。</w:t>
      </w:r>
    </w:p>
    <w:p w14:paraId="410378B0">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（六）国有资本经营预算财政拨款支出决算情况说明。</w:t>
      </w:r>
    </w:p>
    <w:p w14:paraId="19713AC5">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line="560" w:lineRule="exact"/>
        <w:ind w:leftChars="56" w:firstLine="640" w:firstLineChars="200"/>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kern w:val="2"/>
          <w:sz w:val="32"/>
          <w:szCs w:val="32"/>
          <w:lang w:val="en-US" w:eastAsia="zh-CN" w:bidi="ar-SA"/>
        </w:rPr>
        <w:t>本部门2024年度无国有资本经营预算财政拨款收支，上年决算数、年初预算数均为零。</w:t>
      </w:r>
    </w:p>
    <w:p w14:paraId="05F0AA52">
      <w:pPr>
        <w:pStyle w:val="4"/>
        <w:numPr>
          <w:ilvl w:val="0"/>
          <w:numId w:val="0"/>
        </w:numPr>
        <w:shd w:val="clear" w:color="auto" w:fill="FFFFFF"/>
        <w:snapToGrid w:val="0"/>
        <w:ind w:firstLine="663" w:firstLineChars="200"/>
        <w:rPr>
          <w:rStyle w:val="7"/>
          <w:rFonts w:hint="eastAsia" w:ascii="方正黑体_GBK" w:hAnsi="方正黑体_GBK" w:eastAsia="方正黑体_GBK" w:cs="方正黑体_GBK"/>
          <w:sz w:val="33"/>
          <w:szCs w:val="33"/>
          <w:lang w:eastAsia="zh-CN"/>
        </w:rPr>
      </w:pPr>
      <w:r>
        <w:rPr>
          <w:rStyle w:val="7"/>
          <w:rFonts w:hint="eastAsia" w:ascii="方正黑体_GBK" w:hAnsi="方正黑体_GBK" w:eastAsia="方正黑体_GBK" w:cs="方正黑体_GBK"/>
          <w:sz w:val="33"/>
          <w:szCs w:val="33"/>
          <w:lang w:eastAsia="zh-CN"/>
        </w:rPr>
        <w:t>三、“三公”经费情况说明</w:t>
      </w:r>
    </w:p>
    <w:p w14:paraId="2E2D8F9B">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（一）“三公”经费支出总体情况说明</w:t>
      </w:r>
    </w:p>
    <w:p w14:paraId="3B761F4A">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2024年度“三公”经费支出共计13.22万元，较年初预算数减少4.28万元，下降24.46%。</w:t>
      </w:r>
      <w:r>
        <w:rPr>
          <w:rFonts w:hint="eastAsia" w:ascii="方正仿宋_GBK" w:hAnsi="方正仿宋_GBK" w:eastAsia="方正仿宋_GBK" w:cs="方正仿宋_GBK"/>
          <w:kern w:val="2"/>
          <w:sz w:val="32"/>
          <w:szCs w:val="32"/>
        </w:rPr>
        <w:t>主要原因</w:t>
      </w:r>
      <w:r>
        <w:rPr>
          <w:rFonts w:hint="eastAsia" w:ascii="方正仿宋_GBK" w:hAnsi="方正仿宋_GBK" w:eastAsia="方正仿宋_GBK" w:cs="方正仿宋_GBK"/>
          <w:kern w:val="2"/>
          <w:sz w:val="32"/>
          <w:szCs w:val="32"/>
          <w:lang w:eastAsia="zh-CN"/>
        </w:rPr>
        <w:t>一</w:t>
      </w:r>
      <w:r>
        <w:rPr>
          <w:rFonts w:hint="eastAsia" w:ascii="方正仿宋_GBK" w:hAnsi="方正仿宋_GBK" w:eastAsia="方正仿宋_GBK" w:cs="方正仿宋_GBK"/>
          <w:kern w:val="2"/>
          <w:sz w:val="32"/>
          <w:szCs w:val="32"/>
        </w:rPr>
        <w:t>是</w:t>
      </w:r>
      <w:r>
        <w:rPr>
          <w:rFonts w:hint="eastAsia" w:ascii="方正仿宋_GBK" w:hAnsi="方正仿宋_GBK" w:eastAsia="方正仿宋_GBK" w:cs="方正仿宋_GBK"/>
          <w:kern w:val="2"/>
          <w:sz w:val="32"/>
          <w:szCs w:val="32"/>
          <w:lang w:eastAsia="zh-CN"/>
        </w:rPr>
        <w:t>认真贯彻落实中央八项规定精神和</w:t>
      </w:r>
      <w:r>
        <w:rPr>
          <w:rFonts w:hint="eastAsia" w:ascii="方正仿宋_GBK" w:hAnsi="方正仿宋_GBK" w:eastAsia="方正仿宋_GBK" w:cs="方正仿宋_GBK"/>
          <w:kern w:val="2"/>
          <w:sz w:val="32"/>
          <w:szCs w:val="32"/>
        </w:rPr>
        <w:t>厉行节约</w:t>
      </w:r>
      <w:r>
        <w:rPr>
          <w:rFonts w:hint="eastAsia" w:ascii="方正仿宋_GBK" w:hAnsi="方正仿宋_GBK" w:eastAsia="方正仿宋_GBK" w:cs="方正仿宋_GBK"/>
          <w:kern w:val="2"/>
          <w:sz w:val="32"/>
          <w:szCs w:val="32"/>
          <w:lang w:eastAsia="zh-CN"/>
        </w:rPr>
        <w:t>要求</w:t>
      </w:r>
      <w:r>
        <w:rPr>
          <w:rFonts w:hint="eastAsia" w:ascii="方正仿宋_GBK" w:hAnsi="方正仿宋_GBK" w:eastAsia="方正仿宋_GBK" w:cs="方正仿宋_GBK"/>
          <w:kern w:val="2"/>
          <w:sz w:val="32"/>
          <w:szCs w:val="32"/>
        </w:rPr>
        <w:t>，</w:t>
      </w:r>
      <w:r>
        <w:rPr>
          <w:rFonts w:hint="eastAsia" w:ascii="方正仿宋_GBK" w:hAnsi="方正仿宋_GBK" w:eastAsia="方正仿宋_GBK" w:cs="方正仿宋_GBK"/>
          <w:kern w:val="2"/>
          <w:sz w:val="32"/>
          <w:szCs w:val="32"/>
          <w:lang w:eastAsia="zh-CN"/>
        </w:rPr>
        <w:t>坚决落实过紧日子、苦日子思想，压减支出；二是严格落实公车使用规定，严禁公车私用；三是强化公务接待支出管理，严格遵守公务接待开支范围和开支标准，严格控制陪餐人数。</w:t>
      </w:r>
      <w:r>
        <w:rPr>
          <w:rFonts w:hint="eastAsia" w:ascii="方正仿宋_GBK" w:hAnsi="方正仿宋_GBK" w:eastAsia="方正仿宋_GBK" w:cs="方正仿宋_GBK"/>
          <w:kern w:val="2"/>
          <w:sz w:val="32"/>
          <w:szCs w:val="32"/>
          <w:lang w:val="en-US" w:eastAsia="zh-CN" w:bidi="ar-SA"/>
        </w:rPr>
        <w:t>较上年支出数减少5.53万元，下降29.49%，主要原因一是</w:t>
      </w:r>
      <w:r>
        <w:rPr>
          <w:rFonts w:hint="eastAsia" w:ascii="方正仿宋_GBK" w:hAnsi="方正仿宋_GBK" w:eastAsia="方正仿宋_GBK" w:cs="方正仿宋_GBK"/>
          <w:kern w:val="2"/>
          <w:sz w:val="32"/>
          <w:szCs w:val="32"/>
          <w:lang w:eastAsia="zh-CN"/>
        </w:rPr>
        <w:t>坚决落实过紧日子、苦日子思想，压减支出；二是严格落实公车使用规定；三是强化公务接待支出管理</w:t>
      </w:r>
      <w:r>
        <w:rPr>
          <w:rFonts w:hint="eastAsia" w:ascii="方正仿宋_GBK" w:hAnsi="方正仿宋_GBK" w:eastAsia="方正仿宋_GBK" w:cs="方正仿宋_GBK"/>
          <w:kern w:val="2"/>
          <w:sz w:val="32"/>
          <w:szCs w:val="32"/>
          <w:lang w:val="en-US" w:eastAsia="zh-CN" w:bidi="ar-SA"/>
        </w:rPr>
        <w:t>。</w:t>
      </w:r>
    </w:p>
    <w:p w14:paraId="655EB0CD">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（二）“三公”经费分项支出情况</w:t>
      </w:r>
    </w:p>
    <w:p w14:paraId="1920C5D5">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2024年度本部门因公出国（境）费用0.00万元，费用支出较年初预算数增加0.00万元，较上年支出数增加0.00万元。</w:t>
      </w:r>
    </w:p>
    <w:p w14:paraId="58F3DA57">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公务车购置费0万元，费用支出与年初预算数一致，无增减变化。较上年支出数无增减变化。</w:t>
      </w:r>
    </w:p>
    <w:p w14:paraId="2559097F">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SA"/>
        </w:rPr>
        <w:t>公务车运行维护费12.21万元，主要用于车辆运行加油、过路过桥费、保险费、维修费、停车费等。费用支出较年初预算数减少2.79万元，下降18.6%。主要原因一是加强公车管理，严格落实公务用车审批制度，不符合公务派车的坚决不予以派车；二是</w:t>
      </w:r>
      <w:r>
        <w:rPr>
          <w:rFonts w:hint="eastAsia" w:ascii="方正仿宋_GBK" w:hAnsi="方正仿宋_GBK" w:eastAsia="方正仿宋_GBK" w:cs="方正仿宋_GBK"/>
          <w:kern w:val="2"/>
          <w:sz w:val="32"/>
          <w:szCs w:val="32"/>
          <w:lang w:val="en-US" w:eastAsia="zh-CN"/>
        </w:rPr>
        <w:t>把过紧日子、苦日子思想落到实处。</w:t>
      </w:r>
      <w:r>
        <w:rPr>
          <w:rFonts w:hint="eastAsia" w:ascii="方正仿宋_GBK" w:hAnsi="方正仿宋_GBK" w:eastAsia="方正仿宋_GBK" w:cs="方正仿宋_GBK"/>
          <w:kern w:val="2"/>
          <w:sz w:val="32"/>
          <w:szCs w:val="32"/>
          <w:lang w:val="en-US" w:eastAsia="zh-CN" w:bidi="ar-SA"/>
        </w:rPr>
        <w:t>较上年支出数减少4.69万元，下降27.75%。主要原因</w:t>
      </w:r>
      <w:r>
        <w:rPr>
          <w:rFonts w:hint="eastAsia" w:ascii="方正仿宋_GBK" w:hAnsi="方正仿宋_GBK" w:eastAsia="方正仿宋_GBK" w:cs="方正仿宋_GBK"/>
          <w:kern w:val="2"/>
          <w:sz w:val="32"/>
          <w:szCs w:val="32"/>
          <w:lang w:eastAsia="zh-CN"/>
        </w:rPr>
        <w:t>严格落实公车使用规定</w:t>
      </w:r>
      <w:r>
        <w:rPr>
          <w:rFonts w:hint="eastAsia" w:ascii="方正仿宋_GBK" w:hAnsi="方正仿宋_GBK" w:eastAsia="方正仿宋_GBK" w:cs="方正仿宋_GBK"/>
          <w:kern w:val="2"/>
          <w:sz w:val="32"/>
          <w:szCs w:val="32"/>
          <w:lang w:val="en-US" w:eastAsia="zh-CN" w:bidi="ar-SA"/>
        </w:rPr>
        <w:t>。</w:t>
      </w:r>
    </w:p>
    <w:p w14:paraId="51C6A19D">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公务接待费1万元，主要用于接待区县及外省市交流、检查殡葬事务、养老服务等工作。费用支出较年初预算数减少1.5万元，下降60%，主要原因是严格落实过紧日子、苦日子思想，严格执行公务接待审批制度，无公函的一律不予接待。较上年支出数减少0.85万元，下降45.95%，主要原因</w:t>
      </w:r>
      <w:r>
        <w:rPr>
          <w:rFonts w:hint="eastAsia" w:ascii="方正仿宋_GBK" w:hAnsi="方正仿宋_GBK" w:eastAsia="方正仿宋_GBK" w:cs="方正仿宋_GBK"/>
          <w:sz w:val="32"/>
          <w:szCs w:val="32"/>
          <w:lang w:val="en-US" w:eastAsia="zh-CN"/>
        </w:rPr>
        <w:t>是</w:t>
      </w:r>
      <w:r>
        <w:rPr>
          <w:rFonts w:hint="eastAsia" w:ascii="方正仿宋_GBK" w:hAnsi="方正仿宋_GBK" w:eastAsia="方正仿宋_GBK" w:cs="方正仿宋_GBK"/>
          <w:sz w:val="32"/>
          <w:szCs w:val="32"/>
          <w:lang w:eastAsia="zh-CN"/>
        </w:rPr>
        <w:t>强化公务接待支出管理</w:t>
      </w:r>
      <w:r>
        <w:rPr>
          <w:rFonts w:hint="eastAsia" w:ascii="方正仿宋_GBK" w:hAnsi="方正仿宋_GBK" w:eastAsia="方正仿宋_GBK" w:cs="方正仿宋_GBK"/>
          <w:sz w:val="32"/>
          <w:szCs w:val="32"/>
          <w:lang w:val="en-US" w:eastAsia="zh-CN"/>
        </w:rPr>
        <w:t>。</w:t>
      </w:r>
    </w:p>
    <w:p w14:paraId="3BE9AAC4">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（三）“三公”经费实物量情况</w:t>
      </w:r>
    </w:p>
    <w:p w14:paraId="460BA25A">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202</w:t>
      </w:r>
      <w:r>
        <w:rPr>
          <w:rFonts w:hint="eastAsia" w:eastAsia="方正仿宋_GBK" w:cs="Times New Roman"/>
          <w:kern w:val="2"/>
          <w:sz w:val="32"/>
          <w:szCs w:val="32"/>
          <w:lang w:val="en-US" w:eastAsia="zh-CN" w:bidi="ar-SA"/>
        </w:rPr>
        <w:t>4</w:t>
      </w:r>
      <w:r>
        <w:rPr>
          <w:rFonts w:hint="eastAsia" w:ascii="宋体" w:hAnsi="宋体" w:eastAsia="方正仿宋_GBK" w:cs="Times New Roman"/>
          <w:kern w:val="2"/>
          <w:sz w:val="32"/>
          <w:szCs w:val="32"/>
          <w:lang w:val="en-US" w:eastAsia="zh-CN" w:bidi="ar-SA"/>
        </w:rPr>
        <w:t>年度本部门因公出国（境）共计0个团组，0人；公务用车购置</w:t>
      </w:r>
      <w:r>
        <w:rPr>
          <w:rFonts w:hint="eastAsia" w:eastAsia="方正仿宋_GBK" w:cs="Times New Roman"/>
          <w:kern w:val="2"/>
          <w:sz w:val="32"/>
          <w:szCs w:val="32"/>
          <w:lang w:val="en-US" w:eastAsia="zh-CN" w:bidi="ar-SA"/>
        </w:rPr>
        <w:t>0</w:t>
      </w:r>
      <w:r>
        <w:rPr>
          <w:rFonts w:hint="eastAsia" w:ascii="宋体" w:hAnsi="宋体" w:eastAsia="方正仿宋_GBK" w:cs="Times New Roman"/>
          <w:kern w:val="2"/>
          <w:sz w:val="32"/>
          <w:szCs w:val="32"/>
          <w:lang w:val="en-US" w:eastAsia="zh-CN" w:bidi="ar-SA"/>
        </w:rPr>
        <w:t>辆，公务车保有量为</w:t>
      </w:r>
      <w:r>
        <w:rPr>
          <w:rFonts w:hint="eastAsia" w:eastAsia="方正仿宋_GBK" w:cs="Times New Roman"/>
          <w:kern w:val="2"/>
          <w:sz w:val="32"/>
          <w:szCs w:val="32"/>
          <w:lang w:val="en-US" w:eastAsia="zh-CN" w:bidi="ar-SA"/>
        </w:rPr>
        <w:t>5</w:t>
      </w:r>
      <w:r>
        <w:rPr>
          <w:rFonts w:hint="eastAsia" w:ascii="宋体" w:hAnsi="宋体" w:eastAsia="方正仿宋_GBK" w:cs="Times New Roman"/>
          <w:kern w:val="2"/>
          <w:sz w:val="32"/>
          <w:szCs w:val="32"/>
          <w:lang w:val="en-US" w:eastAsia="zh-CN" w:bidi="ar-SA"/>
        </w:rPr>
        <w:t>辆；国内公务接待</w:t>
      </w:r>
      <w:r>
        <w:rPr>
          <w:rFonts w:hint="eastAsia" w:eastAsia="方正仿宋_GBK" w:cs="Times New Roman"/>
          <w:kern w:val="2"/>
          <w:sz w:val="32"/>
          <w:szCs w:val="32"/>
          <w:lang w:val="en-US" w:eastAsia="zh-CN" w:bidi="ar-SA"/>
        </w:rPr>
        <w:t>11</w:t>
      </w:r>
      <w:r>
        <w:rPr>
          <w:rFonts w:hint="eastAsia" w:ascii="宋体" w:hAnsi="宋体" w:eastAsia="方正仿宋_GBK" w:cs="Times New Roman"/>
          <w:kern w:val="2"/>
          <w:sz w:val="32"/>
          <w:szCs w:val="32"/>
          <w:lang w:val="en-US" w:eastAsia="zh-CN" w:bidi="ar-SA"/>
        </w:rPr>
        <w:t>批次</w:t>
      </w:r>
      <w:r>
        <w:rPr>
          <w:rFonts w:hint="eastAsia" w:eastAsia="方正仿宋_GBK" w:cs="Times New Roman"/>
          <w:kern w:val="2"/>
          <w:sz w:val="32"/>
          <w:szCs w:val="32"/>
          <w:lang w:val="en-US" w:eastAsia="zh-CN" w:bidi="ar-SA"/>
        </w:rPr>
        <w:t>104</w:t>
      </w:r>
      <w:r>
        <w:rPr>
          <w:rFonts w:hint="eastAsia" w:ascii="宋体" w:hAnsi="宋体" w:eastAsia="方正仿宋_GBK" w:cs="Times New Roman"/>
          <w:kern w:val="2"/>
          <w:sz w:val="32"/>
          <w:szCs w:val="32"/>
          <w:lang w:val="en-US" w:eastAsia="zh-CN" w:bidi="ar-SA"/>
        </w:rPr>
        <w:t>人，其中：国内外事接待0批次，0人；国（境）外公务接待0批次，0人。202</w:t>
      </w:r>
      <w:r>
        <w:rPr>
          <w:rFonts w:hint="eastAsia" w:eastAsia="方正仿宋_GBK" w:cs="Times New Roman"/>
          <w:kern w:val="2"/>
          <w:sz w:val="32"/>
          <w:szCs w:val="32"/>
          <w:lang w:val="en-US" w:eastAsia="zh-CN" w:bidi="ar-SA"/>
        </w:rPr>
        <w:t>4</w:t>
      </w:r>
      <w:r>
        <w:rPr>
          <w:rFonts w:hint="eastAsia" w:ascii="宋体" w:hAnsi="宋体" w:eastAsia="方正仿宋_GBK" w:cs="Times New Roman"/>
          <w:kern w:val="2"/>
          <w:sz w:val="32"/>
          <w:szCs w:val="32"/>
          <w:lang w:val="en-US" w:eastAsia="zh-CN" w:bidi="ar-SA"/>
        </w:rPr>
        <w:t>年本部门人均接待费</w:t>
      </w:r>
      <w:r>
        <w:rPr>
          <w:rFonts w:hint="eastAsia" w:eastAsia="方正仿宋_GBK" w:cs="Times New Roman"/>
          <w:kern w:val="2"/>
          <w:sz w:val="32"/>
          <w:szCs w:val="32"/>
          <w:lang w:val="en-US" w:eastAsia="zh-CN" w:bidi="ar-SA"/>
        </w:rPr>
        <w:t>96.15</w:t>
      </w:r>
      <w:r>
        <w:rPr>
          <w:rFonts w:hint="eastAsia" w:ascii="宋体" w:hAnsi="宋体" w:eastAsia="方正仿宋_GBK" w:cs="Times New Roman"/>
          <w:kern w:val="2"/>
          <w:sz w:val="32"/>
          <w:szCs w:val="32"/>
          <w:lang w:val="en-US" w:eastAsia="zh-CN" w:bidi="ar-SA"/>
        </w:rPr>
        <w:t>元，车均购置费</w:t>
      </w:r>
      <w:r>
        <w:rPr>
          <w:rFonts w:hint="eastAsia" w:eastAsia="方正仿宋_GBK" w:cs="Times New Roman"/>
          <w:kern w:val="2"/>
          <w:sz w:val="32"/>
          <w:szCs w:val="32"/>
          <w:lang w:val="en-US" w:eastAsia="zh-CN" w:bidi="ar-SA"/>
        </w:rPr>
        <w:t>0</w:t>
      </w:r>
      <w:r>
        <w:rPr>
          <w:rFonts w:hint="eastAsia" w:ascii="宋体" w:hAnsi="宋体" w:eastAsia="方正仿宋_GBK" w:cs="Times New Roman"/>
          <w:kern w:val="2"/>
          <w:sz w:val="32"/>
          <w:szCs w:val="32"/>
          <w:lang w:val="en-US" w:eastAsia="zh-CN" w:bidi="ar-SA"/>
        </w:rPr>
        <w:t>万元，车均维护费</w:t>
      </w:r>
      <w:r>
        <w:rPr>
          <w:rFonts w:hint="eastAsia" w:eastAsia="方正仿宋_GBK" w:cs="Times New Roman"/>
          <w:kern w:val="2"/>
          <w:sz w:val="32"/>
          <w:szCs w:val="32"/>
          <w:lang w:val="en-US" w:eastAsia="zh-CN" w:bidi="ar-SA"/>
        </w:rPr>
        <w:t>2.44</w:t>
      </w:r>
      <w:r>
        <w:rPr>
          <w:rFonts w:hint="eastAsia" w:ascii="宋体" w:hAnsi="宋体" w:eastAsia="方正仿宋_GBK" w:cs="Times New Roman"/>
          <w:kern w:val="2"/>
          <w:sz w:val="32"/>
          <w:szCs w:val="32"/>
          <w:lang w:val="en-US" w:eastAsia="zh-CN" w:bidi="ar-SA"/>
        </w:rPr>
        <w:t>万元。</w:t>
      </w:r>
    </w:p>
    <w:p w14:paraId="51189E53">
      <w:pPr>
        <w:pStyle w:val="4"/>
        <w:numPr>
          <w:ilvl w:val="0"/>
          <w:numId w:val="0"/>
        </w:numPr>
        <w:shd w:val="clear" w:color="auto" w:fill="FFFFFF"/>
        <w:snapToGrid w:val="0"/>
        <w:ind w:firstLine="663" w:firstLineChars="200"/>
        <w:rPr>
          <w:rStyle w:val="7"/>
          <w:rFonts w:hint="eastAsia" w:ascii="方正黑体_GBK" w:hAnsi="方正黑体_GBK" w:eastAsia="方正黑体_GBK" w:cs="方正黑体_GBK"/>
          <w:sz w:val="33"/>
          <w:szCs w:val="33"/>
          <w:lang w:eastAsia="zh-CN"/>
        </w:rPr>
      </w:pPr>
      <w:r>
        <w:rPr>
          <w:rStyle w:val="7"/>
          <w:rFonts w:hint="eastAsia" w:ascii="方正黑体_GBK" w:hAnsi="方正黑体_GBK" w:eastAsia="方正黑体_GBK" w:cs="方正黑体_GBK"/>
          <w:sz w:val="33"/>
          <w:szCs w:val="33"/>
          <w:lang w:eastAsia="zh-CN"/>
        </w:rPr>
        <w:t>四、其他需要说明的事项</w:t>
      </w:r>
    </w:p>
    <w:p w14:paraId="6230108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1"/>
          <w:rFonts w:hint="default" w:ascii="宋体" w:hAnsi="宋体" w:eastAsia="方正楷体_GBK" w:cs="方正楷体_GBK"/>
          <w:b w:val="0"/>
          <w:bCs/>
          <w:kern w:val="2"/>
          <w:sz w:val="32"/>
          <w:szCs w:val="32"/>
          <w:shd w:val="clear" w:color="auto" w:fill="FFFFFF"/>
          <w:lang w:val="en-US" w:eastAsia="zh-CN" w:bidi="ar-SA"/>
        </w:rPr>
      </w:pPr>
      <w:r>
        <w:rPr>
          <w:rStyle w:val="11"/>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14:paraId="5FB8D0B6">
      <w:pPr>
        <w:pStyle w:val="4"/>
        <w:keepNext w:val="0"/>
        <w:keepLines w:val="0"/>
        <w:pageBreakBefore w:val="0"/>
        <w:kinsoku/>
        <w:wordWrap/>
        <w:overflowPunct/>
        <w:topLinePunct w:val="0"/>
        <w:autoSpaceDN/>
        <w:bidi w:val="0"/>
        <w:snapToGrid w:val="0"/>
        <w:spacing w:before="0" w:beforeAutospacing="0" w:after="0" w:afterAutospacing="0" w:line="579" w:lineRule="exact"/>
        <w:ind w:firstLine="640" w:firstLineChars="200"/>
        <w:jc w:val="both"/>
        <w:textAlignment w:val="auto"/>
        <w:rPr>
          <w:rStyle w:val="7"/>
          <w:rFonts w:hint="default"/>
          <w:sz w:val="27"/>
          <w:szCs w:val="27"/>
          <w:lang w:val="en-US"/>
        </w:rPr>
      </w:pPr>
      <w:r>
        <w:rPr>
          <w:rFonts w:hint="eastAsia" w:ascii="方正仿宋_GBK" w:hAnsi="方正仿宋_GBK" w:eastAsia="方正仿宋_GBK" w:cs="方正仿宋_GBK"/>
          <w:sz w:val="32"/>
          <w:szCs w:val="32"/>
          <w:shd w:val="clear" w:color="auto" w:fill="FFFFFF"/>
          <w:lang w:val="en-US" w:eastAsia="zh-CN"/>
        </w:rPr>
        <w:t>2024</w:t>
      </w:r>
      <w:r>
        <w:rPr>
          <w:rFonts w:ascii="方正仿宋_GBK" w:hAnsi="方正仿宋_GBK" w:eastAsia="方正仿宋_GBK" w:cs="方正仿宋_GBK"/>
          <w:sz w:val="32"/>
          <w:szCs w:val="32"/>
          <w:shd w:val="clear" w:color="auto" w:fill="FFFFFF"/>
        </w:rPr>
        <w:t>年度会议费支出</w:t>
      </w:r>
      <w:r>
        <w:rPr>
          <w:rFonts w:hint="eastAsia" w:ascii="方正仿宋_GBK" w:hAnsi="方正仿宋_GBK" w:eastAsia="方正仿宋_GBK" w:cs="方正仿宋_GBK"/>
          <w:sz w:val="32"/>
          <w:szCs w:val="32"/>
          <w:lang w:val="en-US" w:eastAsia="zh-CN"/>
        </w:rPr>
        <w:t>0.22</w:t>
      </w:r>
      <w:r>
        <w:rPr>
          <w:rFonts w:ascii="方正仿宋_GBK" w:hAnsi="方正仿宋_GBK" w:eastAsia="方正仿宋_GBK" w:cs="方正仿宋_GBK"/>
          <w:sz w:val="32"/>
          <w:szCs w:val="32"/>
          <w:shd w:val="clear" w:color="auto" w:fill="FFFFFF"/>
        </w:rPr>
        <w:t>万元，与2023年度相比，减少1</w:t>
      </w:r>
      <w:r>
        <w:rPr>
          <w:rFonts w:hint="eastAsia" w:ascii="方正仿宋_GBK" w:hAnsi="方正仿宋_GBK" w:eastAsia="方正仿宋_GBK" w:cs="方正仿宋_GBK"/>
          <w:sz w:val="32"/>
          <w:szCs w:val="32"/>
          <w:shd w:val="clear" w:color="auto" w:fill="FFFFFF"/>
          <w:lang w:val="en-US" w:eastAsia="zh-CN"/>
        </w:rPr>
        <w:t>3.61</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94.25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上年全市民政政策宣传月启动仪式在江津召开，本年会议费支出主要用于政协提案调研座谈等</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本</w:t>
      </w:r>
      <w:r>
        <w:rPr>
          <w:rFonts w:hint="eastAsia" w:ascii="宋体" w:hAnsi="宋体" w:eastAsia="方正仿宋_GBK" w:cs="Times New Roman"/>
          <w:kern w:val="2"/>
          <w:sz w:val="32"/>
          <w:szCs w:val="32"/>
          <w:lang w:val="en-US" w:eastAsia="zh-CN" w:bidi="ar-SA"/>
        </w:rPr>
        <w:t>年培训费支出</w:t>
      </w:r>
      <w:r>
        <w:rPr>
          <w:rFonts w:hint="eastAsia" w:eastAsia="方正仿宋_GBK" w:cs="Times New Roman"/>
          <w:kern w:val="2"/>
          <w:sz w:val="32"/>
          <w:szCs w:val="32"/>
          <w:lang w:val="en-US" w:eastAsia="zh-CN" w:bidi="ar-SA"/>
        </w:rPr>
        <w:t>19.29</w:t>
      </w:r>
      <w:r>
        <w:rPr>
          <w:rFonts w:hint="eastAsia" w:ascii="宋体" w:hAnsi="宋体" w:eastAsia="方正仿宋_GBK" w:cs="Times New Roman"/>
          <w:kern w:val="2"/>
          <w:sz w:val="32"/>
          <w:szCs w:val="32"/>
          <w:lang w:val="en-US" w:eastAsia="zh-CN" w:bidi="ar-SA"/>
        </w:rPr>
        <w:t>万元，较上年决算数减少</w:t>
      </w:r>
      <w:r>
        <w:rPr>
          <w:rFonts w:hint="eastAsia" w:eastAsia="方正仿宋_GBK" w:cs="Times New Roman"/>
          <w:kern w:val="2"/>
          <w:sz w:val="32"/>
          <w:szCs w:val="32"/>
          <w:lang w:val="en-US" w:eastAsia="zh-CN" w:bidi="ar-SA"/>
        </w:rPr>
        <w:t>7.18</w:t>
      </w:r>
      <w:r>
        <w:rPr>
          <w:rFonts w:hint="eastAsia" w:ascii="宋体" w:hAnsi="宋体" w:eastAsia="方正仿宋_GBK" w:cs="Times New Roman"/>
          <w:kern w:val="2"/>
          <w:sz w:val="32"/>
          <w:szCs w:val="32"/>
          <w:lang w:val="en-US" w:eastAsia="zh-CN" w:bidi="ar-SA"/>
        </w:rPr>
        <w:t>万元，</w:t>
      </w:r>
      <w:r>
        <w:rPr>
          <w:rFonts w:hint="eastAsia" w:eastAsia="方正仿宋_GBK" w:cs="Times New Roman"/>
          <w:kern w:val="2"/>
          <w:sz w:val="32"/>
          <w:szCs w:val="32"/>
          <w:lang w:val="en-US" w:eastAsia="zh-CN" w:bidi="ar-SA"/>
        </w:rPr>
        <w:t>下降27.13</w:t>
      </w:r>
      <w:r>
        <w:rPr>
          <w:rFonts w:hint="eastAsia" w:ascii="宋体" w:hAnsi="宋体" w:eastAsia="方正仿宋_GBK" w:cs="Times New Roman"/>
          <w:kern w:val="2"/>
          <w:sz w:val="32"/>
          <w:szCs w:val="32"/>
          <w:lang w:val="en-US" w:eastAsia="zh-CN" w:bidi="ar-SA"/>
        </w:rPr>
        <w:t>%</w:t>
      </w:r>
      <w:r>
        <w:rPr>
          <w:rFonts w:hint="eastAsia" w:eastAsia="方正仿宋_GBK" w:cs="Times New Roman"/>
          <w:kern w:val="2"/>
          <w:sz w:val="32"/>
          <w:szCs w:val="32"/>
          <w:lang w:val="en-US" w:eastAsia="zh-CN" w:bidi="ar-SA"/>
        </w:rPr>
        <w:t>。</w:t>
      </w:r>
      <w:r>
        <w:rPr>
          <w:rFonts w:hint="eastAsia" w:ascii="宋体" w:hAnsi="宋体" w:eastAsia="方正仿宋_GBK" w:cs="Times New Roman"/>
          <w:kern w:val="2"/>
          <w:sz w:val="32"/>
          <w:szCs w:val="32"/>
          <w:lang w:val="en-US" w:eastAsia="zh-CN" w:bidi="ar-SA"/>
        </w:rPr>
        <w:t>主要原因</w:t>
      </w:r>
      <w:r>
        <w:rPr>
          <w:rFonts w:hint="eastAsia" w:eastAsia="方正仿宋_GBK" w:cs="Times New Roman"/>
          <w:kern w:val="2"/>
          <w:sz w:val="32"/>
          <w:szCs w:val="32"/>
          <w:lang w:val="en-US" w:eastAsia="zh-CN" w:bidi="ar-SA"/>
        </w:rPr>
        <w:t>是坚决落实过紧日子、苦日子思想，压减支出。本年培训费支出主要用于养老机构负责人、经办人员培训；儿童主任培训等。</w:t>
      </w:r>
    </w:p>
    <w:p w14:paraId="0772DAA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1"/>
          <w:rFonts w:hint="eastAsia" w:ascii="宋体" w:hAnsi="宋体" w:eastAsia="方正楷体_GBK" w:cs="方正楷体_GBK"/>
          <w:b w:val="0"/>
          <w:bCs/>
          <w:kern w:val="2"/>
          <w:sz w:val="32"/>
          <w:szCs w:val="32"/>
          <w:shd w:val="clear" w:color="auto" w:fill="FFFFFF"/>
          <w:lang w:val="en-US" w:eastAsia="zh-CN" w:bidi="ar-SA"/>
        </w:rPr>
      </w:pPr>
      <w:r>
        <w:rPr>
          <w:rStyle w:val="11"/>
          <w:rFonts w:hint="eastAsia" w:ascii="宋体" w:hAnsi="宋体" w:eastAsia="方正楷体_GBK" w:cs="方正楷体_GBK"/>
          <w:b w:val="0"/>
          <w:bCs/>
          <w:kern w:val="2"/>
          <w:sz w:val="32"/>
          <w:szCs w:val="32"/>
          <w:shd w:val="clear" w:color="auto" w:fill="FFFFFF"/>
          <w:lang w:val="en-US" w:eastAsia="zh-CN" w:bidi="ar-SA"/>
        </w:rPr>
        <w:t>（</w:t>
      </w:r>
      <w:r>
        <w:rPr>
          <w:rStyle w:val="11"/>
          <w:rFonts w:hint="eastAsia" w:eastAsia="方正楷体_GBK" w:cs="方正楷体_GBK"/>
          <w:b w:val="0"/>
          <w:bCs/>
          <w:kern w:val="2"/>
          <w:sz w:val="32"/>
          <w:szCs w:val="32"/>
          <w:shd w:val="clear" w:color="auto" w:fill="FFFFFF"/>
          <w:lang w:val="en-US" w:eastAsia="zh-CN" w:bidi="ar-SA"/>
        </w:rPr>
        <w:t>二</w:t>
      </w:r>
      <w:r>
        <w:rPr>
          <w:rStyle w:val="11"/>
          <w:rFonts w:hint="eastAsia" w:ascii="宋体" w:hAnsi="宋体" w:eastAsia="方正楷体_GBK" w:cs="方正楷体_GBK"/>
          <w:b w:val="0"/>
          <w:bCs/>
          <w:kern w:val="2"/>
          <w:sz w:val="32"/>
          <w:szCs w:val="32"/>
          <w:shd w:val="clear" w:color="auto" w:fill="FFFFFF"/>
          <w:lang w:val="en-US" w:eastAsia="zh-CN" w:bidi="ar-SA"/>
        </w:rPr>
        <w:t>）机关运行经费情况说明</w:t>
      </w:r>
    </w:p>
    <w:p w14:paraId="3F4090AE">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eastAsia="方正仿宋_GBK" w:cs="仿宋_GB2312" w:hAnsiTheme="minorHAnsi"/>
          <w:kern w:val="2"/>
          <w:sz w:val="32"/>
          <w:szCs w:val="32"/>
        </w:rPr>
      </w:pPr>
      <w:r>
        <w:rPr>
          <w:rFonts w:hint="eastAsia" w:eastAsia="方正仿宋_GBK" w:cs="Times New Roman"/>
          <w:kern w:val="2"/>
          <w:sz w:val="32"/>
          <w:szCs w:val="32"/>
          <w:lang w:val="en-US" w:eastAsia="zh-CN" w:bidi="ar-SA"/>
        </w:rPr>
        <w:t>2</w:t>
      </w:r>
      <w:r>
        <w:rPr>
          <w:rFonts w:hint="eastAsia" w:ascii="宋体" w:hAnsi="宋体" w:eastAsia="方正仿宋_GBK" w:cs="Times New Roman"/>
          <w:kern w:val="2"/>
          <w:sz w:val="32"/>
          <w:szCs w:val="32"/>
          <w:lang w:val="en-US" w:eastAsia="zh-CN" w:bidi="ar-SA"/>
        </w:rPr>
        <w:t>02</w:t>
      </w:r>
      <w:r>
        <w:rPr>
          <w:rFonts w:hint="eastAsia" w:eastAsia="方正仿宋_GBK" w:cs="Times New Roman"/>
          <w:kern w:val="2"/>
          <w:sz w:val="32"/>
          <w:szCs w:val="32"/>
          <w:lang w:val="en-US" w:eastAsia="zh-CN" w:bidi="ar-SA"/>
        </w:rPr>
        <w:t>4</w:t>
      </w:r>
      <w:r>
        <w:rPr>
          <w:rFonts w:hint="eastAsia" w:ascii="宋体" w:hAnsi="宋体" w:eastAsia="方正仿宋_GBK" w:cs="Times New Roman"/>
          <w:kern w:val="2"/>
          <w:sz w:val="32"/>
          <w:szCs w:val="32"/>
          <w:lang w:val="en-US" w:eastAsia="zh-CN" w:bidi="ar-SA"/>
        </w:rPr>
        <w:t>年度本部门机关运行经费支出</w:t>
      </w:r>
      <w:r>
        <w:rPr>
          <w:rFonts w:hint="eastAsia" w:eastAsia="方正仿宋_GBK" w:cs="Times New Roman"/>
          <w:kern w:val="2"/>
          <w:sz w:val="32"/>
          <w:szCs w:val="32"/>
          <w:lang w:val="en-US" w:eastAsia="zh-CN" w:bidi="ar-SA"/>
        </w:rPr>
        <w:t>244.91</w:t>
      </w:r>
      <w:r>
        <w:rPr>
          <w:rFonts w:hint="eastAsia" w:ascii="宋体" w:hAnsi="宋体" w:eastAsia="方正仿宋_GBK" w:cs="Times New Roman"/>
          <w:kern w:val="2"/>
          <w:sz w:val="32"/>
          <w:szCs w:val="32"/>
          <w:lang w:val="en-US" w:eastAsia="zh-CN" w:bidi="ar-SA"/>
        </w:rPr>
        <w:t>万元，机关运行经费主要用于开支机关办公费、印刷费、水费、电费、邮电费、维修（护）费、差旅费、公务接待费、会议费、培训费、劳务费、公务用车运行和维护费等。机关运行经费较上年决算数</w:t>
      </w:r>
      <w:r>
        <w:rPr>
          <w:rFonts w:hint="eastAsia" w:eastAsia="方正仿宋_GBK" w:cs="Times New Roman"/>
          <w:kern w:val="2"/>
          <w:sz w:val="32"/>
          <w:szCs w:val="32"/>
          <w:lang w:val="en-US" w:eastAsia="zh-CN" w:bidi="ar-SA"/>
        </w:rPr>
        <w:t>减少33</w:t>
      </w:r>
      <w:r>
        <w:rPr>
          <w:rFonts w:hint="eastAsia" w:ascii="宋体" w:hAnsi="宋体" w:eastAsia="方正仿宋_GBK" w:cs="Times New Roman"/>
          <w:kern w:val="2"/>
          <w:sz w:val="32"/>
          <w:szCs w:val="32"/>
          <w:lang w:val="en-US" w:eastAsia="zh-CN" w:bidi="ar-SA"/>
        </w:rPr>
        <w:t>万元，</w:t>
      </w:r>
      <w:r>
        <w:rPr>
          <w:rFonts w:hint="eastAsia" w:eastAsia="方正仿宋_GBK" w:cs="Times New Roman"/>
          <w:kern w:val="2"/>
          <w:sz w:val="32"/>
          <w:szCs w:val="32"/>
          <w:lang w:val="en-US" w:eastAsia="zh-CN" w:bidi="ar-SA"/>
        </w:rPr>
        <w:t>下降11.87</w:t>
      </w:r>
      <w:r>
        <w:rPr>
          <w:rFonts w:hint="eastAsia" w:ascii="宋体" w:hAnsi="宋体" w:eastAsia="方正仿宋_GBK" w:cs="Times New Roman"/>
          <w:kern w:val="2"/>
          <w:sz w:val="32"/>
          <w:szCs w:val="32"/>
          <w:lang w:val="en-US" w:eastAsia="zh-CN" w:bidi="ar-SA"/>
        </w:rPr>
        <w:t>%，主要原因</w:t>
      </w:r>
      <w:r>
        <w:rPr>
          <w:rFonts w:hint="eastAsia" w:eastAsia="方正仿宋_GBK" w:cs="Times New Roman"/>
          <w:kern w:val="2"/>
          <w:sz w:val="32"/>
          <w:szCs w:val="32"/>
          <w:lang w:val="en-US" w:eastAsia="zh-CN" w:bidi="ar-SA"/>
        </w:rPr>
        <w:t>是坚决落实过紧日子、苦日子思想，压减支出。</w:t>
      </w:r>
    </w:p>
    <w:p w14:paraId="7E51791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1"/>
          <w:rFonts w:hint="eastAsia" w:ascii="宋体" w:hAnsi="宋体" w:eastAsia="方正楷体_GBK" w:cs="方正楷体_GBK"/>
          <w:b w:val="0"/>
          <w:bCs/>
          <w:kern w:val="2"/>
          <w:sz w:val="32"/>
          <w:szCs w:val="32"/>
          <w:shd w:val="clear" w:color="auto" w:fill="FFFFFF"/>
          <w:lang w:val="en-US" w:eastAsia="zh-CN" w:bidi="ar-SA"/>
        </w:rPr>
      </w:pPr>
      <w:r>
        <w:rPr>
          <w:rStyle w:val="11"/>
          <w:rFonts w:hint="eastAsia" w:ascii="宋体" w:hAnsi="宋体" w:eastAsia="方正楷体_GBK" w:cs="方正楷体_GBK"/>
          <w:b w:val="0"/>
          <w:bCs/>
          <w:kern w:val="2"/>
          <w:sz w:val="32"/>
          <w:szCs w:val="32"/>
          <w:shd w:val="clear" w:color="auto" w:fill="FFFFFF"/>
          <w:lang w:val="en-US" w:eastAsia="zh-CN" w:bidi="ar-SA"/>
        </w:rPr>
        <w:t>（</w:t>
      </w:r>
      <w:r>
        <w:rPr>
          <w:rStyle w:val="11"/>
          <w:rFonts w:hint="eastAsia" w:eastAsia="方正楷体_GBK" w:cs="方正楷体_GBK"/>
          <w:b w:val="0"/>
          <w:bCs/>
          <w:kern w:val="2"/>
          <w:sz w:val="32"/>
          <w:szCs w:val="32"/>
          <w:shd w:val="clear" w:color="auto" w:fill="FFFFFF"/>
          <w:lang w:val="en-US" w:eastAsia="zh-CN" w:bidi="ar-SA"/>
        </w:rPr>
        <w:t>三</w:t>
      </w:r>
      <w:r>
        <w:rPr>
          <w:rStyle w:val="11"/>
          <w:rFonts w:hint="eastAsia" w:ascii="宋体" w:hAnsi="宋体" w:eastAsia="方正楷体_GBK" w:cs="方正楷体_GBK"/>
          <w:b w:val="0"/>
          <w:bCs/>
          <w:kern w:val="2"/>
          <w:sz w:val="32"/>
          <w:szCs w:val="32"/>
          <w:shd w:val="clear" w:color="auto" w:fill="FFFFFF"/>
          <w:lang w:val="en-US" w:eastAsia="zh-CN" w:bidi="ar-SA"/>
        </w:rPr>
        <w:t>）国有资产占用情况说明</w:t>
      </w:r>
    </w:p>
    <w:p w14:paraId="6AB279DD">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截至202</w:t>
      </w:r>
      <w:r>
        <w:rPr>
          <w:rFonts w:hint="eastAsia" w:eastAsia="方正仿宋_GBK" w:cs="Times New Roman"/>
          <w:kern w:val="2"/>
          <w:sz w:val="32"/>
          <w:szCs w:val="32"/>
          <w:lang w:val="en-US" w:eastAsia="zh-CN" w:bidi="ar-SA"/>
        </w:rPr>
        <w:t>4</w:t>
      </w:r>
      <w:r>
        <w:rPr>
          <w:rFonts w:hint="eastAsia" w:ascii="宋体" w:hAnsi="宋体" w:eastAsia="方正仿宋_GBK" w:cs="Times New Roman"/>
          <w:kern w:val="2"/>
          <w:sz w:val="32"/>
          <w:szCs w:val="32"/>
          <w:lang w:val="en-US" w:eastAsia="zh-CN" w:bidi="ar-SA"/>
        </w:rPr>
        <w:t>年12月31日，本部门共有车辆</w:t>
      </w:r>
      <w:r>
        <w:rPr>
          <w:rFonts w:hint="eastAsia" w:eastAsia="方正仿宋_GBK" w:cs="Times New Roman"/>
          <w:kern w:val="2"/>
          <w:sz w:val="32"/>
          <w:szCs w:val="32"/>
          <w:lang w:val="en-US" w:eastAsia="zh-CN" w:bidi="ar-SA"/>
        </w:rPr>
        <w:t>5</w:t>
      </w:r>
      <w:r>
        <w:rPr>
          <w:rFonts w:hint="eastAsia" w:ascii="宋体" w:hAnsi="宋体" w:eastAsia="方正仿宋_GBK" w:cs="Times New Roman"/>
          <w:kern w:val="2"/>
          <w:sz w:val="32"/>
          <w:szCs w:val="32"/>
          <w:lang w:val="en-US" w:eastAsia="zh-CN" w:bidi="ar-SA"/>
        </w:rPr>
        <w:t>辆，其中，副部（省）级及以上领导用车0辆、主要领导干部用车0辆、机要通信用车</w:t>
      </w:r>
      <w:r>
        <w:rPr>
          <w:rFonts w:hint="eastAsia" w:eastAsia="方正仿宋_GBK" w:cs="Times New Roman"/>
          <w:kern w:val="2"/>
          <w:sz w:val="32"/>
          <w:szCs w:val="32"/>
          <w:lang w:val="en-US" w:eastAsia="zh-CN" w:bidi="ar-SA"/>
        </w:rPr>
        <w:t>5</w:t>
      </w:r>
      <w:r>
        <w:rPr>
          <w:rFonts w:hint="eastAsia" w:ascii="宋体" w:hAnsi="宋体" w:eastAsia="方正仿宋_GBK" w:cs="Times New Roman"/>
          <w:kern w:val="2"/>
          <w:sz w:val="32"/>
          <w:szCs w:val="32"/>
          <w:lang w:val="en-US" w:eastAsia="zh-CN" w:bidi="ar-SA"/>
        </w:rPr>
        <w:t>辆、应急保障用车</w:t>
      </w:r>
      <w:r>
        <w:rPr>
          <w:rFonts w:hint="eastAsia" w:eastAsia="方正仿宋_GBK" w:cs="Times New Roman"/>
          <w:kern w:val="2"/>
          <w:sz w:val="32"/>
          <w:szCs w:val="32"/>
          <w:lang w:val="en-US" w:eastAsia="zh-CN" w:bidi="ar-SA"/>
        </w:rPr>
        <w:t>0</w:t>
      </w:r>
      <w:r>
        <w:rPr>
          <w:rFonts w:hint="eastAsia" w:ascii="宋体" w:hAnsi="宋体" w:eastAsia="方正仿宋_GBK" w:cs="Times New Roman"/>
          <w:kern w:val="2"/>
          <w:sz w:val="32"/>
          <w:szCs w:val="32"/>
          <w:lang w:val="en-US" w:eastAsia="zh-CN" w:bidi="ar-SA"/>
        </w:rPr>
        <w:t>辆、执法执勤用车0辆，特种专业技术用车</w:t>
      </w:r>
      <w:r>
        <w:rPr>
          <w:rFonts w:hint="eastAsia" w:eastAsia="方正仿宋_GBK" w:cs="Times New Roman"/>
          <w:kern w:val="2"/>
          <w:sz w:val="32"/>
          <w:szCs w:val="32"/>
          <w:lang w:val="en-US" w:eastAsia="zh-CN" w:bidi="ar-SA"/>
        </w:rPr>
        <w:t>0</w:t>
      </w:r>
      <w:r>
        <w:rPr>
          <w:rFonts w:hint="eastAsia" w:ascii="宋体" w:hAnsi="宋体" w:eastAsia="方正仿宋_GBK" w:cs="Times New Roman"/>
          <w:kern w:val="2"/>
          <w:sz w:val="32"/>
          <w:szCs w:val="32"/>
          <w:lang w:val="en-US" w:eastAsia="zh-CN" w:bidi="ar-SA"/>
        </w:rPr>
        <w:t>辆，离退休干部用车0辆，其他用车0辆。单价50万元（含）以上通用设备</w:t>
      </w:r>
      <w:r>
        <w:rPr>
          <w:rFonts w:hint="eastAsia" w:eastAsia="方正仿宋_GBK" w:cs="Times New Roman"/>
          <w:kern w:val="2"/>
          <w:sz w:val="32"/>
          <w:szCs w:val="32"/>
          <w:lang w:val="en-US" w:eastAsia="zh-CN" w:bidi="ar-SA"/>
        </w:rPr>
        <w:t>0</w:t>
      </w:r>
      <w:r>
        <w:rPr>
          <w:rFonts w:hint="eastAsia" w:ascii="宋体" w:hAnsi="宋体" w:eastAsia="方正仿宋_GBK" w:cs="Times New Roman"/>
          <w:kern w:val="2"/>
          <w:sz w:val="32"/>
          <w:szCs w:val="32"/>
          <w:lang w:val="en-US" w:eastAsia="zh-CN" w:bidi="ar-SA"/>
        </w:rPr>
        <w:t>台（套），单价100万元（含）以上专用设备</w:t>
      </w:r>
      <w:r>
        <w:rPr>
          <w:rFonts w:hint="eastAsia" w:eastAsia="方正仿宋_GBK" w:cs="Times New Roman"/>
          <w:kern w:val="2"/>
          <w:sz w:val="32"/>
          <w:szCs w:val="32"/>
          <w:lang w:val="en-US" w:eastAsia="zh-CN" w:bidi="ar-SA"/>
        </w:rPr>
        <w:t>0</w:t>
      </w:r>
      <w:r>
        <w:rPr>
          <w:rFonts w:hint="eastAsia" w:ascii="宋体" w:hAnsi="宋体" w:eastAsia="方正仿宋_GBK" w:cs="Times New Roman"/>
          <w:kern w:val="2"/>
          <w:sz w:val="32"/>
          <w:szCs w:val="32"/>
          <w:lang w:val="en-US" w:eastAsia="zh-CN" w:bidi="ar-SA"/>
        </w:rPr>
        <w:t>台（套）。</w:t>
      </w:r>
    </w:p>
    <w:p w14:paraId="1E56F9A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1"/>
          <w:rFonts w:hint="eastAsia" w:ascii="宋体" w:hAnsi="宋体" w:eastAsia="方正楷体_GBK" w:cs="方正楷体_GBK"/>
          <w:b w:val="0"/>
          <w:bCs/>
          <w:kern w:val="2"/>
          <w:sz w:val="32"/>
          <w:szCs w:val="32"/>
          <w:shd w:val="clear" w:color="auto" w:fill="FFFFFF"/>
          <w:lang w:val="en-US" w:eastAsia="zh-CN" w:bidi="ar-SA"/>
        </w:rPr>
      </w:pPr>
      <w:r>
        <w:rPr>
          <w:rStyle w:val="11"/>
          <w:rFonts w:hint="eastAsia" w:ascii="宋体" w:hAnsi="宋体" w:eastAsia="方正楷体_GBK" w:cs="方正楷体_GBK"/>
          <w:b w:val="0"/>
          <w:bCs/>
          <w:kern w:val="2"/>
          <w:sz w:val="32"/>
          <w:szCs w:val="32"/>
          <w:shd w:val="clear" w:color="auto" w:fill="FFFFFF"/>
          <w:lang w:val="en-US" w:eastAsia="zh-CN" w:bidi="ar-SA"/>
        </w:rPr>
        <w:t>（</w:t>
      </w:r>
      <w:r>
        <w:rPr>
          <w:rStyle w:val="11"/>
          <w:rFonts w:hint="eastAsia" w:eastAsia="方正楷体_GBK" w:cs="方正楷体_GBK"/>
          <w:b w:val="0"/>
          <w:bCs/>
          <w:kern w:val="2"/>
          <w:sz w:val="32"/>
          <w:szCs w:val="32"/>
          <w:shd w:val="clear" w:color="auto" w:fill="FFFFFF"/>
          <w:lang w:val="en-US" w:eastAsia="zh-CN" w:bidi="ar-SA"/>
        </w:rPr>
        <w:t>四</w:t>
      </w:r>
      <w:r>
        <w:rPr>
          <w:rStyle w:val="11"/>
          <w:rFonts w:hint="eastAsia" w:ascii="宋体" w:hAnsi="宋体" w:eastAsia="方正楷体_GBK" w:cs="方正楷体_GBK"/>
          <w:b w:val="0"/>
          <w:bCs/>
          <w:kern w:val="2"/>
          <w:sz w:val="32"/>
          <w:szCs w:val="32"/>
          <w:shd w:val="clear" w:color="auto" w:fill="FFFFFF"/>
          <w:lang w:val="en-US" w:eastAsia="zh-CN" w:bidi="ar-SA"/>
        </w:rPr>
        <w:t>）政府采购支出情况说明</w:t>
      </w:r>
    </w:p>
    <w:p w14:paraId="06AFF2D7">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202</w:t>
      </w:r>
      <w:r>
        <w:rPr>
          <w:rFonts w:hint="eastAsia" w:eastAsia="方正仿宋_GBK" w:cs="Times New Roman"/>
          <w:kern w:val="2"/>
          <w:sz w:val="32"/>
          <w:szCs w:val="32"/>
          <w:lang w:val="en-US" w:eastAsia="zh-CN" w:bidi="ar-SA"/>
        </w:rPr>
        <w:t>4</w:t>
      </w:r>
      <w:r>
        <w:rPr>
          <w:rFonts w:hint="eastAsia" w:ascii="宋体" w:hAnsi="宋体" w:eastAsia="方正仿宋_GBK" w:cs="Times New Roman"/>
          <w:kern w:val="2"/>
          <w:sz w:val="32"/>
          <w:szCs w:val="32"/>
          <w:lang w:val="en-US" w:eastAsia="zh-CN" w:bidi="ar-SA"/>
        </w:rPr>
        <w:t>年度本部门政府采购支出总额</w:t>
      </w:r>
      <w:r>
        <w:rPr>
          <w:rFonts w:hint="eastAsia" w:eastAsia="方正仿宋_GBK" w:cs="Times New Roman"/>
          <w:kern w:val="2"/>
          <w:sz w:val="32"/>
          <w:szCs w:val="32"/>
          <w:lang w:val="en-US" w:eastAsia="zh-CN" w:bidi="ar-SA"/>
        </w:rPr>
        <w:t>1461.96</w:t>
      </w:r>
      <w:r>
        <w:rPr>
          <w:rFonts w:hint="eastAsia" w:ascii="宋体" w:hAnsi="宋体" w:eastAsia="方正仿宋_GBK" w:cs="Times New Roman"/>
          <w:kern w:val="2"/>
          <w:sz w:val="32"/>
          <w:szCs w:val="32"/>
          <w:lang w:val="en-US" w:eastAsia="zh-CN" w:bidi="ar-SA"/>
        </w:rPr>
        <w:t>万元</w:t>
      </w:r>
      <w:r>
        <w:rPr>
          <w:rFonts w:hint="eastAsia" w:eastAsia="方正仿宋_GBK" w:cs="Times New Roman"/>
          <w:kern w:val="2"/>
          <w:sz w:val="32"/>
          <w:szCs w:val="32"/>
          <w:lang w:val="en-US" w:eastAsia="zh-CN" w:bidi="ar-SA"/>
        </w:rPr>
        <w:t>。</w:t>
      </w:r>
      <w:r>
        <w:rPr>
          <w:rFonts w:hint="eastAsia" w:ascii="宋体" w:hAnsi="宋体" w:eastAsia="方正仿宋_GBK" w:cs="Times New Roman"/>
          <w:kern w:val="2"/>
          <w:sz w:val="32"/>
          <w:szCs w:val="32"/>
          <w:lang w:val="en-US" w:eastAsia="zh-CN" w:bidi="ar-SA"/>
        </w:rPr>
        <w:t>其中：政府采购货物支出</w:t>
      </w:r>
      <w:r>
        <w:rPr>
          <w:rFonts w:hint="eastAsia" w:eastAsia="方正仿宋_GBK" w:cs="Times New Roman"/>
          <w:kern w:val="2"/>
          <w:sz w:val="32"/>
          <w:szCs w:val="32"/>
          <w:lang w:val="en-US" w:eastAsia="zh-CN" w:bidi="ar-SA"/>
        </w:rPr>
        <w:t>6.76</w:t>
      </w:r>
      <w:r>
        <w:rPr>
          <w:rFonts w:hint="eastAsia" w:ascii="宋体" w:hAnsi="宋体" w:eastAsia="方正仿宋_GBK" w:cs="Times New Roman"/>
          <w:kern w:val="2"/>
          <w:sz w:val="32"/>
          <w:szCs w:val="32"/>
          <w:lang w:val="en-US" w:eastAsia="zh-CN" w:bidi="ar-SA"/>
        </w:rPr>
        <w:t>万元、政府采购工程支出0.00万元、政府采购服务支出</w:t>
      </w:r>
      <w:r>
        <w:rPr>
          <w:rFonts w:hint="eastAsia" w:eastAsia="方正仿宋_GBK" w:cs="Times New Roman"/>
          <w:kern w:val="2"/>
          <w:sz w:val="32"/>
          <w:szCs w:val="32"/>
          <w:lang w:val="en-US" w:eastAsia="zh-CN" w:bidi="ar-SA"/>
        </w:rPr>
        <w:t>1455.20</w:t>
      </w:r>
      <w:r>
        <w:rPr>
          <w:rFonts w:hint="eastAsia" w:ascii="宋体" w:hAnsi="宋体" w:eastAsia="方正仿宋_GBK" w:cs="Times New Roman"/>
          <w:kern w:val="2"/>
          <w:sz w:val="32"/>
          <w:szCs w:val="32"/>
          <w:lang w:val="en-US" w:eastAsia="zh-CN" w:bidi="ar-SA"/>
        </w:rPr>
        <w:t>万元。授予中小企业合同金额</w:t>
      </w:r>
      <w:r>
        <w:rPr>
          <w:rFonts w:hint="eastAsia" w:eastAsia="方正仿宋_GBK" w:cs="Times New Roman"/>
          <w:kern w:val="2"/>
          <w:sz w:val="32"/>
          <w:szCs w:val="32"/>
          <w:lang w:val="en-US" w:eastAsia="zh-CN" w:bidi="ar-SA"/>
        </w:rPr>
        <w:t>878.04</w:t>
      </w:r>
      <w:r>
        <w:rPr>
          <w:rFonts w:hint="eastAsia" w:ascii="宋体" w:hAnsi="宋体" w:eastAsia="方正仿宋_GBK" w:cs="Times New Roman"/>
          <w:kern w:val="2"/>
          <w:sz w:val="32"/>
          <w:szCs w:val="32"/>
          <w:lang w:val="en-US" w:eastAsia="zh-CN" w:bidi="ar-SA"/>
        </w:rPr>
        <w:t>万元，占政府采购支出总额的</w:t>
      </w:r>
      <w:r>
        <w:rPr>
          <w:rFonts w:hint="eastAsia" w:eastAsia="方正仿宋_GBK" w:cs="Times New Roman"/>
          <w:kern w:val="2"/>
          <w:sz w:val="32"/>
          <w:szCs w:val="32"/>
          <w:lang w:val="en-US" w:eastAsia="zh-CN" w:bidi="ar-SA"/>
        </w:rPr>
        <w:t>60</w:t>
      </w:r>
      <w:r>
        <w:rPr>
          <w:rFonts w:hint="eastAsia" w:ascii="宋体" w:hAnsi="宋体" w:eastAsia="方正仿宋_GBK" w:cs="Times New Roman"/>
          <w:kern w:val="2"/>
          <w:sz w:val="32"/>
          <w:szCs w:val="32"/>
          <w:lang w:val="en-US" w:eastAsia="zh-CN" w:bidi="ar-SA"/>
        </w:rPr>
        <w:t>%</w:t>
      </w:r>
      <w:r>
        <w:rPr>
          <w:rFonts w:hint="eastAsia" w:eastAsia="方正仿宋_GBK" w:cs="Times New Roman"/>
          <w:kern w:val="2"/>
          <w:sz w:val="32"/>
          <w:szCs w:val="32"/>
          <w:lang w:val="en-US" w:eastAsia="zh-CN" w:bidi="ar-SA"/>
        </w:rPr>
        <w:t>。</w:t>
      </w:r>
      <w:r>
        <w:rPr>
          <w:rFonts w:hint="eastAsia" w:ascii="宋体" w:hAnsi="宋体" w:eastAsia="方正仿宋_GBK" w:cs="Times New Roman"/>
          <w:kern w:val="2"/>
          <w:sz w:val="32"/>
          <w:szCs w:val="32"/>
          <w:lang w:val="en-US" w:eastAsia="zh-CN" w:bidi="ar-SA"/>
        </w:rPr>
        <w:t xml:space="preserve">其中：授予小微企业合同金额 </w:t>
      </w:r>
      <w:r>
        <w:rPr>
          <w:rFonts w:hint="eastAsia" w:eastAsia="方正仿宋_GBK" w:cs="Times New Roman"/>
          <w:kern w:val="2"/>
          <w:sz w:val="32"/>
          <w:szCs w:val="32"/>
          <w:lang w:val="en-US" w:eastAsia="zh-CN" w:bidi="ar-SA"/>
        </w:rPr>
        <w:t>873.04</w:t>
      </w:r>
      <w:r>
        <w:rPr>
          <w:rFonts w:hint="eastAsia" w:ascii="宋体" w:hAnsi="宋体" w:eastAsia="方正仿宋_GBK" w:cs="Times New Roman"/>
          <w:kern w:val="2"/>
          <w:sz w:val="32"/>
          <w:szCs w:val="32"/>
          <w:lang w:val="en-US" w:eastAsia="zh-CN" w:bidi="ar-SA"/>
        </w:rPr>
        <w:t>万元，占政府采购支出总额的</w:t>
      </w:r>
      <w:r>
        <w:rPr>
          <w:rFonts w:hint="eastAsia" w:eastAsia="方正仿宋_GBK" w:cs="Times New Roman"/>
          <w:kern w:val="2"/>
          <w:sz w:val="32"/>
          <w:szCs w:val="32"/>
          <w:lang w:val="en-US" w:eastAsia="zh-CN" w:bidi="ar-SA"/>
        </w:rPr>
        <w:t>59.72</w:t>
      </w:r>
      <w:r>
        <w:rPr>
          <w:rFonts w:hint="eastAsia" w:ascii="宋体" w:hAnsi="宋体" w:eastAsia="方正仿宋_GBK" w:cs="Times New Roman"/>
          <w:kern w:val="2"/>
          <w:sz w:val="32"/>
          <w:szCs w:val="32"/>
          <w:lang w:val="en-US" w:eastAsia="zh-CN" w:bidi="ar-SA"/>
        </w:rPr>
        <w:t>%</w:t>
      </w:r>
      <w:r>
        <w:rPr>
          <w:rFonts w:hint="eastAsia" w:ascii="方正仿宋_GBK" w:eastAsia="方正仿宋_GBK" w:cs="仿宋_GB2312" w:hAnsiTheme="minorHAnsi"/>
          <w:kern w:val="2"/>
          <w:sz w:val="32"/>
          <w:szCs w:val="32"/>
          <w:lang w:val="en-US" w:eastAsia="zh-CN"/>
        </w:rPr>
        <w:t>。</w:t>
      </w:r>
    </w:p>
    <w:p w14:paraId="3842B8A0">
      <w:pPr>
        <w:pStyle w:val="4"/>
        <w:numPr>
          <w:ilvl w:val="0"/>
          <w:numId w:val="0"/>
        </w:numPr>
        <w:shd w:val="clear" w:color="auto" w:fill="FFFFFF"/>
        <w:snapToGrid w:val="0"/>
        <w:ind w:firstLine="663" w:firstLineChars="200"/>
        <w:rPr>
          <w:rStyle w:val="7"/>
          <w:rFonts w:hint="eastAsia" w:ascii="方正黑体_GBK" w:hAnsi="方正黑体_GBK" w:eastAsia="方正黑体_GBK" w:cs="方正黑体_GBK"/>
          <w:sz w:val="33"/>
          <w:szCs w:val="33"/>
          <w:lang w:eastAsia="zh-CN"/>
        </w:rPr>
      </w:pPr>
      <w:r>
        <w:rPr>
          <w:rStyle w:val="7"/>
          <w:rFonts w:hint="eastAsia" w:ascii="方正黑体_GBK" w:hAnsi="方正黑体_GBK" w:eastAsia="方正黑体_GBK" w:cs="方正黑体_GBK"/>
          <w:sz w:val="33"/>
          <w:szCs w:val="33"/>
          <w:lang w:eastAsia="zh-CN"/>
        </w:rPr>
        <w:t>五、预算绩效管理情况说明</w:t>
      </w:r>
    </w:p>
    <w:p w14:paraId="7D5BEA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1"/>
          <w:rFonts w:hint="eastAsia" w:ascii="宋体" w:hAnsi="宋体" w:eastAsia="方正楷体_GBK" w:cs="方正楷体_GBK"/>
          <w:b w:val="0"/>
          <w:bCs/>
          <w:kern w:val="2"/>
          <w:sz w:val="32"/>
          <w:szCs w:val="32"/>
          <w:shd w:val="clear" w:color="auto" w:fill="FFFFFF"/>
          <w:lang w:val="en-US" w:eastAsia="zh-CN" w:bidi="ar-SA"/>
        </w:rPr>
      </w:pPr>
      <w:r>
        <w:rPr>
          <w:rStyle w:val="11"/>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14:paraId="6811B781">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根据预算绩效管理要求，本部门对</w:t>
      </w:r>
      <w:r>
        <w:rPr>
          <w:rFonts w:hint="eastAsia" w:eastAsia="方正仿宋_GBK" w:cs="Times New Roman"/>
          <w:kern w:val="2"/>
          <w:sz w:val="32"/>
          <w:szCs w:val="32"/>
          <w:lang w:val="en-US" w:eastAsia="zh-CN" w:bidi="ar-SA"/>
        </w:rPr>
        <w:t>46</w:t>
      </w:r>
      <w:r>
        <w:rPr>
          <w:rFonts w:hint="eastAsia" w:ascii="宋体" w:hAnsi="宋体" w:eastAsia="方正仿宋_GBK" w:cs="Times New Roman"/>
          <w:kern w:val="2"/>
          <w:sz w:val="32"/>
          <w:szCs w:val="32"/>
          <w:highlight w:val="none"/>
          <w:lang w:val="en-US" w:eastAsia="zh-CN" w:bidi="ar-SA"/>
        </w:rPr>
        <w:t>个项目，以填报目标自评表形式开展了绩效自评，涉及资金</w:t>
      </w:r>
      <w:r>
        <w:rPr>
          <w:rFonts w:hint="eastAsia" w:eastAsia="方正仿宋_GBK" w:cs="Times New Roman"/>
          <w:kern w:val="2"/>
          <w:sz w:val="32"/>
          <w:szCs w:val="32"/>
          <w:highlight w:val="none"/>
          <w:lang w:val="en-US" w:eastAsia="zh-CN" w:bidi="ar-SA"/>
        </w:rPr>
        <w:t>70151.81</w:t>
      </w:r>
      <w:r>
        <w:rPr>
          <w:rFonts w:hint="eastAsia" w:ascii="宋体" w:hAnsi="宋体" w:eastAsia="方正仿宋_GBK" w:cs="Times New Roman"/>
          <w:kern w:val="2"/>
          <w:sz w:val="32"/>
          <w:szCs w:val="32"/>
          <w:highlight w:val="none"/>
          <w:lang w:val="en-US" w:eastAsia="zh-CN" w:bidi="ar-SA"/>
        </w:rPr>
        <w:t>万元；从评价情况来看，整体执行较好</w:t>
      </w:r>
      <w:r>
        <w:rPr>
          <w:rFonts w:hint="eastAsia" w:eastAsia="方正仿宋_GBK" w:cs="Times New Roman"/>
          <w:kern w:val="2"/>
          <w:sz w:val="32"/>
          <w:szCs w:val="32"/>
          <w:highlight w:val="none"/>
          <w:lang w:val="en-US" w:eastAsia="zh-CN" w:bidi="ar-SA"/>
        </w:rPr>
        <w:t>,</w:t>
      </w:r>
      <w:r>
        <w:rPr>
          <w:rFonts w:hint="eastAsia" w:ascii="宋体" w:hAnsi="宋体" w:eastAsia="方正仿宋_GBK" w:cs="Times New Roman"/>
          <w:kern w:val="2"/>
          <w:sz w:val="32"/>
          <w:szCs w:val="32"/>
          <w:lang w:val="en-US" w:eastAsia="zh-CN" w:bidi="ar-SA"/>
        </w:rPr>
        <w:t>贯彻执行社会救助政策，保障和改善民生，织密织牢兜底保障安全网；推动养老服务提档升级；加强儿童关爱保护；全面落实社会福利工作；加强区划地名界线管理；持续优化殡葬管理服务；推动慈善事业良好发展。</w:t>
      </w:r>
    </w:p>
    <w:p w14:paraId="1B5397A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1"/>
          <w:rFonts w:hint="eastAsia" w:ascii="宋体" w:hAnsi="宋体" w:eastAsia="方正楷体_GBK" w:cs="方正楷体_GBK"/>
          <w:b w:val="0"/>
          <w:bCs/>
          <w:kern w:val="2"/>
          <w:sz w:val="32"/>
          <w:szCs w:val="32"/>
          <w:shd w:val="clear" w:color="auto" w:fill="FFFFFF"/>
          <w:lang w:val="en-US" w:eastAsia="zh-CN" w:bidi="ar-SA"/>
        </w:rPr>
      </w:pPr>
      <w:r>
        <w:rPr>
          <w:rStyle w:val="11"/>
          <w:rFonts w:hint="eastAsia" w:ascii="宋体" w:hAnsi="宋体" w:eastAsia="方正楷体_GBK" w:cs="方正楷体_GBK"/>
          <w:b w:val="0"/>
          <w:bCs/>
          <w:kern w:val="2"/>
          <w:sz w:val="32"/>
          <w:szCs w:val="32"/>
          <w:shd w:val="clear" w:color="auto" w:fill="FFFFFF"/>
          <w:lang w:val="en-US" w:eastAsia="zh-CN" w:bidi="ar-SA"/>
        </w:rPr>
        <w:t>（二）绩效自评结果</w:t>
      </w:r>
    </w:p>
    <w:p w14:paraId="5861A6A7">
      <w:pPr>
        <w:pStyle w:val="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3" w:firstLineChars="200"/>
        <w:jc w:val="left"/>
        <w:textAlignment w:val="auto"/>
        <w:rPr>
          <w:rFonts w:hint="eastAsia" w:ascii="宋体" w:hAnsi="宋体" w:eastAsia="方正仿宋_GBK" w:cs="方正仿宋_GBK"/>
          <w:b/>
          <w:bCs/>
          <w:color w:val="auto"/>
          <w:sz w:val="32"/>
          <w:szCs w:val="22"/>
          <w:lang w:val="en-US" w:eastAsia="zh-CN" w:bidi="ar"/>
        </w:rPr>
      </w:pPr>
      <w:r>
        <w:rPr>
          <w:rFonts w:hint="eastAsia" w:ascii="宋体" w:hAnsi="宋体" w:eastAsia="方正仿宋_GBK" w:cs="方正仿宋_GBK"/>
          <w:b/>
          <w:bCs/>
          <w:color w:val="auto"/>
          <w:sz w:val="32"/>
          <w:szCs w:val="22"/>
          <w:lang w:val="en-US" w:eastAsia="zh-CN" w:bidi="ar"/>
        </w:rPr>
        <w:t>1.绩效自评表</w:t>
      </w:r>
    </w:p>
    <w:p w14:paraId="31752721">
      <w:pPr>
        <w:pStyle w:val="4"/>
        <w:shd w:val="clear" w:color="auto" w:fill="FFFFFF"/>
        <w:snapToGrid w:val="0"/>
        <w:ind w:firstLine="542" w:firstLineChars="200"/>
        <w:rPr>
          <w:rStyle w:val="7"/>
          <w:rFonts w:hint="eastAsia" w:ascii="方正黑体_GBK" w:hAnsi="方正黑体_GBK" w:eastAsia="方正黑体_GBK" w:cs="方正黑体_GBK"/>
          <w:sz w:val="27"/>
          <w:szCs w:val="27"/>
        </w:rPr>
      </w:pPr>
    </w:p>
    <w:p w14:paraId="2F37D8DA">
      <w:pPr>
        <w:pStyle w:val="10"/>
        <w:tabs>
          <w:tab w:val="center" w:pos="4153"/>
          <w:tab w:val="left" w:pos="7275"/>
        </w:tabs>
        <w:spacing w:line="600" w:lineRule="exact"/>
        <w:ind w:firstLine="0" w:firstLineChars="0"/>
        <w:jc w:val="center"/>
        <w:rPr>
          <w:rFonts w:hint="eastAsia" w:ascii="方正黑体_GBK" w:hAnsi="方正黑体_GBK" w:eastAsia="方正黑体_GBK" w:cs="方正黑体_GBK"/>
          <w:color w:val="000000"/>
          <w:kern w:val="0"/>
          <w:sz w:val="36"/>
          <w:szCs w:val="36"/>
        </w:rPr>
      </w:pPr>
      <w:r>
        <w:rPr>
          <w:rFonts w:hint="eastAsia" w:ascii="方正黑体_GBK" w:hAnsi="方正黑体_GBK" w:eastAsia="方正黑体_GBK" w:cs="方正黑体_GBK"/>
          <w:color w:val="000000"/>
          <w:kern w:val="0"/>
          <w:sz w:val="36"/>
          <w:szCs w:val="36"/>
          <w:lang w:val="en-US" w:eastAsia="zh-CN"/>
        </w:rPr>
        <w:t>2024年度部门整体</w:t>
      </w:r>
      <w:r>
        <w:rPr>
          <w:rFonts w:hint="eastAsia" w:ascii="方正黑体_GBK" w:hAnsi="方正黑体_GBK" w:eastAsia="方正黑体_GBK" w:cs="方正黑体_GBK"/>
          <w:color w:val="000000"/>
          <w:kern w:val="0"/>
          <w:sz w:val="36"/>
          <w:szCs w:val="36"/>
        </w:rPr>
        <w:t>绩效自评表</w:t>
      </w:r>
    </w:p>
    <w:tbl>
      <w:tblPr>
        <w:tblStyle w:val="5"/>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852"/>
        <w:gridCol w:w="540"/>
        <w:gridCol w:w="675"/>
        <w:gridCol w:w="615"/>
        <w:gridCol w:w="22"/>
        <w:gridCol w:w="908"/>
        <w:gridCol w:w="232"/>
        <w:gridCol w:w="833"/>
        <w:gridCol w:w="1050"/>
        <w:gridCol w:w="1327"/>
        <w:gridCol w:w="993"/>
        <w:gridCol w:w="1238"/>
      </w:tblGrid>
      <w:tr w14:paraId="40C7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6DCEF3ED">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项目</w:t>
            </w:r>
          </w:p>
          <w:p w14:paraId="1854C0EA">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名称</w:t>
            </w:r>
          </w:p>
        </w:tc>
        <w:tc>
          <w:tcPr>
            <w:tcW w:w="3844" w:type="dxa"/>
            <w:gridSpan w:val="7"/>
            <w:tcBorders>
              <w:tl2br w:val="nil"/>
              <w:tr2bl w:val="nil"/>
            </w:tcBorders>
            <w:noWrap w:val="0"/>
            <w:vAlign w:val="center"/>
          </w:tcPr>
          <w:p w14:paraId="598B749F">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重庆市江津区民政局整体自评</w:t>
            </w:r>
          </w:p>
        </w:tc>
        <w:tc>
          <w:tcPr>
            <w:tcW w:w="833" w:type="dxa"/>
            <w:tcBorders>
              <w:tl2br w:val="nil"/>
              <w:tr2bl w:val="nil"/>
            </w:tcBorders>
            <w:noWrap w:val="0"/>
            <w:vAlign w:val="center"/>
          </w:tcPr>
          <w:p w14:paraId="2B6E5B57">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自评</w:t>
            </w:r>
          </w:p>
          <w:p w14:paraId="0BCEC9C5">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总分</w:t>
            </w:r>
          </w:p>
          <w:p w14:paraId="20C9B745">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c>
          <w:tcPr>
            <w:tcW w:w="4608" w:type="dxa"/>
            <w:gridSpan w:val="4"/>
            <w:tcBorders>
              <w:tl2br w:val="nil"/>
              <w:tr2bl w:val="nil"/>
            </w:tcBorders>
            <w:noWrap w:val="0"/>
            <w:vAlign w:val="center"/>
          </w:tcPr>
          <w:p w14:paraId="175F7845">
            <w:pPr>
              <w:widowControl/>
              <w:spacing w:line="300" w:lineRule="exact"/>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r>
      <w:tr w14:paraId="54E3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18C864FF">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lang w:val="en-US" w:eastAsia="zh-CN"/>
              </w:rPr>
              <w:t>项目</w:t>
            </w:r>
            <w:r>
              <w:rPr>
                <w:rFonts w:hint="eastAsia" w:ascii="Times New Roman" w:hAnsi="Times New Roman" w:eastAsia="方正仿宋_GBK" w:cs="宋体"/>
                <w:color w:val="000000"/>
                <w:kern w:val="0"/>
                <w:sz w:val="24"/>
                <w:szCs w:val="24"/>
              </w:rPr>
              <w:t>主管</w:t>
            </w:r>
          </w:p>
          <w:p w14:paraId="35545B98">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部门</w:t>
            </w:r>
          </w:p>
        </w:tc>
        <w:tc>
          <w:tcPr>
            <w:tcW w:w="1392" w:type="dxa"/>
            <w:gridSpan w:val="2"/>
            <w:tcBorders>
              <w:tl2br w:val="nil"/>
              <w:tr2bl w:val="nil"/>
            </w:tcBorders>
            <w:noWrap w:val="0"/>
            <w:vAlign w:val="center"/>
          </w:tcPr>
          <w:p w14:paraId="4DB869D7">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重庆市江津区民政局</w:t>
            </w:r>
          </w:p>
        </w:tc>
        <w:tc>
          <w:tcPr>
            <w:tcW w:w="1312" w:type="dxa"/>
            <w:gridSpan w:val="3"/>
            <w:tcBorders>
              <w:tl2br w:val="nil"/>
              <w:tr2bl w:val="nil"/>
            </w:tcBorders>
            <w:noWrap w:val="0"/>
            <w:vAlign w:val="center"/>
          </w:tcPr>
          <w:p w14:paraId="1F841898">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财政归口科室</w:t>
            </w:r>
          </w:p>
        </w:tc>
        <w:tc>
          <w:tcPr>
            <w:tcW w:w="1140" w:type="dxa"/>
            <w:gridSpan w:val="2"/>
            <w:tcBorders>
              <w:tl2br w:val="nil"/>
              <w:tr2bl w:val="nil"/>
            </w:tcBorders>
            <w:noWrap w:val="0"/>
            <w:vAlign w:val="center"/>
          </w:tcPr>
          <w:p w14:paraId="168273C3">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社会保障科</w:t>
            </w:r>
          </w:p>
        </w:tc>
        <w:tc>
          <w:tcPr>
            <w:tcW w:w="833" w:type="dxa"/>
            <w:tcBorders>
              <w:tl2br w:val="nil"/>
              <w:tr2bl w:val="nil"/>
            </w:tcBorders>
            <w:noWrap w:val="0"/>
            <w:vAlign w:val="center"/>
          </w:tcPr>
          <w:p w14:paraId="044D1A6A">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项目</w:t>
            </w:r>
          </w:p>
          <w:p w14:paraId="42BB1870">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联系人</w:t>
            </w:r>
          </w:p>
        </w:tc>
        <w:tc>
          <w:tcPr>
            <w:tcW w:w="1050" w:type="dxa"/>
            <w:tcBorders>
              <w:tl2br w:val="nil"/>
              <w:tr2bl w:val="nil"/>
            </w:tcBorders>
            <w:noWrap w:val="0"/>
            <w:vAlign w:val="center"/>
          </w:tcPr>
          <w:p w14:paraId="1C4DA2A9">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周建军</w:t>
            </w:r>
          </w:p>
        </w:tc>
        <w:tc>
          <w:tcPr>
            <w:tcW w:w="1327" w:type="dxa"/>
            <w:tcBorders>
              <w:tl2br w:val="nil"/>
              <w:tr2bl w:val="nil"/>
            </w:tcBorders>
            <w:noWrap w:val="0"/>
            <w:vAlign w:val="center"/>
          </w:tcPr>
          <w:p w14:paraId="5AE6DF43">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联系电话</w:t>
            </w:r>
          </w:p>
        </w:tc>
        <w:tc>
          <w:tcPr>
            <w:tcW w:w="2231" w:type="dxa"/>
            <w:gridSpan w:val="2"/>
            <w:tcBorders>
              <w:tl2br w:val="nil"/>
              <w:tr2bl w:val="nil"/>
            </w:tcBorders>
            <w:noWrap w:val="0"/>
            <w:vAlign w:val="center"/>
          </w:tcPr>
          <w:p w14:paraId="27B561ED">
            <w:pPr>
              <w:widowControl/>
              <w:spacing w:line="300" w:lineRule="exact"/>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47555632</w:t>
            </w:r>
          </w:p>
        </w:tc>
      </w:tr>
      <w:tr w14:paraId="1621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29F84F4A">
            <w:pPr>
              <w:widowControl/>
              <w:spacing w:line="300" w:lineRule="exact"/>
              <w:ind w:left="113" w:right="113"/>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项目资金（万元）</w:t>
            </w:r>
          </w:p>
        </w:tc>
        <w:tc>
          <w:tcPr>
            <w:tcW w:w="1392" w:type="dxa"/>
            <w:gridSpan w:val="2"/>
            <w:vMerge w:val="restart"/>
            <w:tcBorders>
              <w:tl2br w:val="nil"/>
              <w:tr2bl w:val="nil"/>
            </w:tcBorders>
            <w:noWrap w:val="0"/>
            <w:vAlign w:val="center"/>
          </w:tcPr>
          <w:p w14:paraId="0A6DE9B6">
            <w:pPr>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年度总金额</w:t>
            </w:r>
          </w:p>
        </w:tc>
        <w:tc>
          <w:tcPr>
            <w:tcW w:w="1312" w:type="dxa"/>
            <w:gridSpan w:val="3"/>
            <w:tcBorders>
              <w:tl2br w:val="nil"/>
              <w:tr2bl w:val="nil"/>
            </w:tcBorders>
            <w:noWrap w:val="0"/>
            <w:vAlign w:val="center"/>
          </w:tcPr>
          <w:p w14:paraId="6DAD9E68">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年初</w:t>
            </w:r>
          </w:p>
          <w:p w14:paraId="029F6A59">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预算数</w:t>
            </w:r>
          </w:p>
        </w:tc>
        <w:tc>
          <w:tcPr>
            <w:tcW w:w="1140" w:type="dxa"/>
            <w:gridSpan w:val="2"/>
            <w:tcBorders>
              <w:tl2br w:val="nil"/>
              <w:tr2bl w:val="nil"/>
            </w:tcBorders>
            <w:noWrap w:val="0"/>
            <w:vAlign w:val="center"/>
          </w:tcPr>
          <w:p w14:paraId="270A6ED9">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全年（调整）预算数</w:t>
            </w:r>
          </w:p>
        </w:tc>
        <w:tc>
          <w:tcPr>
            <w:tcW w:w="1883" w:type="dxa"/>
            <w:gridSpan w:val="2"/>
            <w:tcBorders>
              <w:tl2br w:val="nil"/>
              <w:tr2bl w:val="nil"/>
            </w:tcBorders>
            <w:noWrap w:val="0"/>
            <w:vAlign w:val="center"/>
          </w:tcPr>
          <w:p w14:paraId="61B59933">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全年执行数</w:t>
            </w:r>
          </w:p>
        </w:tc>
        <w:tc>
          <w:tcPr>
            <w:tcW w:w="1327" w:type="dxa"/>
            <w:tcBorders>
              <w:tl2br w:val="nil"/>
              <w:tr2bl w:val="nil"/>
            </w:tcBorders>
            <w:noWrap w:val="0"/>
            <w:vAlign w:val="center"/>
          </w:tcPr>
          <w:p w14:paraId="742FB9CA">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执行率</w:t>
            </w:r>
          </w:p>
          <w:p w14:paraId="063C2388">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w:t>
            </w:r>
          </w:p>
        </w:tc>
        <w:tc>
          <w:tcPr>
            <w:tcW w:w="993" w:type="dxa"/>
            <w:tcBorders>
              <w:tl2br w:val="nil"/>
              <w:tr2bl w:val="nil"/>
            </w:tcBorders>
            <w:noWrap w:val="0"/>
            <w:vAlign w:val="center"/>
          </w:tcPr>
          <w:p w14:paraId="705E0717">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执行率</w:t>
            </w:r>
          </w:p>
          <w:p w14:paraId="28C10D9C">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权重</w:t>
            </w:r>
          </w:p>
        </w:tc>
        <w:tc>
          <w:tcPr>
            <w:tcW w:w="1238" w:type="dxa"/>
            <w:tcBorders>
              <w:tl2br w:val="nil"/>
              <w:tr2bl w:val="nil"/>
            </w:tcBorders>
            <w:noWrap w:val="0"/>
            <w:vAlign w:val="center"/>
          </w:tcPr>
          <w:p w14:paraId="6AEBAB95">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执行率</w:t>
            </w:r>
          </w:p>
          <w:p w14:paraId="4F248624">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得分</w:t>
            </w:r>
          </w:p>
          <w:p w14:paraId="51F7B249">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r>
      <w:tr w14:paraId="3499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5C61FBCB">
            <w:pPr>
              <w:widowControl/>
              <w:spacing w:line="300" w:lineRule="exact"/>
              <w:rPr>
                <w:rFonts w:ascii="Times New Roman" w:hAnsi="Times New Roman" w:eastAsia="方正仿宋_GBK" w:cs="宋体"/>
                <w:color w:val="000000"/>
                <w:kern w:val="0"/>
                <w:sz w:val="24"/>
                <w:szCs w:val="24"/>
              </w:rPr>
            </w:pPr>
          </w:p>
        </w:tc>
        <w:tc>
          <w:tcPr>
            <w:tcW w:w="1392" w:type="dxa"/>
            <w:gridSpan w:val="2"/>
            <w:vMerge w:val="continue"/>
            <w:tcBorders>
              <w:tl2br w:val="nil"/>
              <w:tr2bl w:val="nil"/>
            </w:tcBorders>
            <w:noWrap w:val="0"/>
            <w:vAlign w:val="center"/>
          </w:tcPr>
          <w:p w14:paraId="4AA0FF01">
            <w:pPr>
              <w:spacing w:line="300" w:lineRule="exact"/>
              <w:jc w:val="center"/>
              <w:rPr>
                <w:rFonts w:hint="eastAsia" w:ascii="Times New Roman" w:hAnsi="Times New Roman" w:eastAsia="方正仿宋_GBK" w:cs="宋体"/>
                <w:color w:val="000000"/>
                <w:kern w:val="0"/>
                <w:sz w:val="24"/>
                <w:szCs w:val="24"/>
              </w:rPr>
            </w:pPr>
          </w:p>
        </w:tc>
        <w:tc>
          <w:tcPr>
            <w:tcW w:w="1312" w:type="dxa"/>
            <w:gridSpan w:val="3"/>
            <w:tcBorders>
              <w:tl2br w:val="nil"/>
              <w:tr2bl w:val="nil"/>
            </w:tcBorders>
            <w:noWrap w:val="0"/>
            <w:vAlign w:val="center"/>
          </w:tcPr>
          <w:p w14:paraId="739AA89A">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73384.79</w:t>
            </w:r>
          </w:p>
        </w:tc>
        <w:tc>
          <w:tcPr>
            <w:tcW w:w="1140" w:type="dxa"/>
            <w:gridSpan w:val="2"/>
            <w:tcBorders>
              <w:tl2br w:val="nil"/>
              <w:tr2bl w:val="nil"/>
            </w:tcBorders>
            <w:noWrap w:val="0"/>
            <w:vAlign w:val="center"/>
          </w:tcPr>
          <w:p w14:paraId="0119F781">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72580.39</w:t>
            </w:r>
          </w:p>
        </w:tc>
        <w:tc>
          <w:tcPr>
            <w:tcW w:w="1883" w:type="dxa"/>
            <w:gridSpan w:val="2"/>
            <w:tcBorders>
              <w:tl2br w:val="nil"/>
              <w:tr2bl w:val="nil"/>
            </w:tcBorders>
            <w:noWrap w:val="0"/>
            <w:vAlign w:val="center"/>
          </w:tcPr>
          <w:p w14:paraId="17C6EDEF">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72580.39</w:t>
            </w:r>
          </w:p>
        </w:tc>
        <w:tc>
          <w:tcPr>
            <w:tcW w:w="1327" w:type="dxa"/>
            <w:tcBorders>
              <w:tl2br w:val="nil"/>
              <w:tr2bl w:val="nil"/>
            </w:tcBorders>
            <w:noWrap w:val="0"/>
            <w:vAlign w:val="center"/>
          </w:tcPr>
          <w:p w14:paraId="44DC4A46">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993" w:type="dxa"/>
            <w:tcBorders>
              <w:tl2br w:val="nil"/>
              <w:tr2bl w:val="nil"/>
            </w:tcBorders>
            <w:noWrap w:val="0"/>
            <w:vAlign w:val="center"/>
          </w:tcPr>
          <w:p w14:paraId="423C6958">
            <w:pPr>
              <w:widowControl/>
              <w:spacing w:line="300" w:lineRule="exact"/>
              <w:jc w:val="both"/>
              <w:rPr>
                <w:rFonts w:hint="default" w:ascii="Times New Roman" w:hAnsi="Times New Roman" w:eastAsia="方正仿宋_GBK" w:cs="宋体"/>
                <w:kern w:val="0"/>
                <w:sz w:val="24"/>
                <w:szCs w:val="24"/>
                <w:lang w:val="en-US" w:eastAsia="zh-CN"/>
              </w:rPr>
            </w:pPr>
            <w:r>
              <w:rPr>
                <w:rFonts w:hint="eastAsia" w:ascii="Times New Roman" w:hAnsi="Times New Roman" w:eastAsia="方正仿宋_GBK" w:cs="宋体"/>
                <w:kern w:val="0"/>
                <w:sz w:val="24"/>
                <w:szCs w:val="24"/>
                <w:lang w:val="en-US" w:eastAsia="zh-CN"/>
              </w:rPr>
              <w:t>10</w:t>
            </w:r>
          </w:p>
        </w:tc>
        <w:tc>
          <w:tcPr>
            <w:tcW w:w="1238" w:type="dxa"/>
            <w:tcBorders>
              <w:tl2br w:val="nil"/>
              <w:tr2bl w:val="nil"/>
            </w:tcBorders>
            <w:noWrap w:val="0"/>
            <w:vAlign w:val="center"/>
          </w:tcPr>
          <w:p w14:paraId="2AE8848F">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r>
      <w:tr w14:paraId="06D0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30C1A011">
            <w:pPr>
              <w:widowControl/>
              <w:spacing w:line="300" w:lineRule="exact"/>
              <w:rPr>
                <w:rFonts w:ascii="Times New Roman" w:hAnsi="Times New Roman" w:eastAsia="方正仿宋_GBK" w:cs="宋体"/>
                <w:color w:val="000000"/>
                <w:kern w:val="0"/>
                <w:sz w:val="24"/>
                <w:szCs w:val="24"/>
              </w:rPr>
            </w:pPr>
          </w:p>
        </w:tc>
        <w:tc>
          <w:tcPr>
            <w:tcW w:w="1392" w:type="dxa"/>
            <w:gridSpan w:val="2"/>
            <w:tcBorders>
              <w:tl2br w:val="nil"/>
              <w:tr2bl w:val="nil"/>
            </w:tcBorders>
            <w:noWrap w:val="0"/>
            <w:vAlign w:val="center"/>
          </w:tcPr>
          <w:p w14:paraId="4EC9608C">
            <w:pPr>
              <w:widowControl/>
              <w:spacing w:line="300" w:lineRule="exact"/>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其中：</w:t>
            </w:r>
          </w:p>
          <w:p w14:paraId="30346D4F">
            <w:pPr>
              <w:widowControl/>
              <w:spacing w:line="300" w:lineRule="exact"/>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财政拨款</w:t>
            </w:r>
          </w:p>
        </w:tc>
        <w:tc>
          <w:tcPr>
            <w:tcW w:w="1312" w:type="dxa"/>
            <w:gridSpan w:val="3"/>
            <w:tcBorders>
              <w:tl2br w:val="nil"/>
              <w:tr2bl w:val="nil"/>
            </w:tcBorders>
            <w:noWrap w:val="0"/>
            <w:vAlign w:val="center"/>
          </w:tcPr>
          <w:p w14:paraId="28204733">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73384.79</w:t>
            </w:r>
          </w:p>
        </w:tc>
        <w:tc>
          <w:tcPr>
            <w:tcW w:w="1140" w:type="dxa"/>
            <w:gridSpan w:val="2"/>
            <w:tcBorders>
              <w:tl2br w:val="nil"/>
              <w:tr2bl w:val="nil"/>
            </w:tcBorders>
            <w:noWrap w:val="0"/>
            <w:vAlign w:val="center"/>
          </w:tcPr>
          <w:p w14:paraId="5C507670">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72580.39</w:t>
            </w:r>
          </w:p>
        </w:tc>
        <w:tc>
          <w:tcPr>
            <w:tcW w:w="1883" w:type="dxa"/>
            <w:gridSpan w:val="2"/>
            <w:tcBorders>
              <w:tl2br w:val="nil"/>
              <w:tr2bl w:val="nil"/>
            </w:tcBorders>
            <w:noWrap w:val="0"/>
            <w:vAlign w:val="center"/>
          </w:tcPr>
          <w:p w14:paraId="71B71FDE">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72580.39</w:t>
            </w:r>
          </w:p>
        </w:tc>
        <w:tc>
          <w:tcPr>
            <w:tcW w:w="1327" w:type="dxa"/>
            <w:tcBorders>
              <w:tl2br w:val="nil"/>
              <w:tr2bl w:val="nil"/>
            </w:tcBorders>
            <w:noWrap w:val="0"/>
            <w:vAlign w:val="center"/>
          </w:tcPr>
          <w:p w14:paraId="06BD9774">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993" w:type="dxa"/>
            <w:tcBorders>
              <w:tl2br w:val="nil"/>
              <w:tr2bl w:val="nil"/>
            </w:tcBorders>
            <w:noWrap w:val="0"/>
            <w:vAlign w:val="center"/>
          </w:tcPr>
          <w:p w14:paraId="61D743C4">
            <w:pPr>
              <w:widowControl/>
              <w:spacing w:line="300" w:lineRule="exact"/>
              <w:jc w:val="both"/>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c>
          <w:tcPr>
            <w:tcW w:w="1238" w:type="dxa"/>
            <w:tcBorders>
              <w:tl2br w:val="nil"/>
              <w:tr2bl w:val="nil"/>
            </w:tcBorders>
            <w:noWrap w:val="0"/>
            <w:vAlign w:val="center"/>
          </w:tcPr>
          <w:p w14:paraId="21037DE6">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r>
      <w:tr w14:paraId="454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1DF4E99C">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当年绩效目标</w:t>
            </w:r>
          </w:p>
        </w:tc>
        <w:tc>
          <w:tcPr>
            <w:tcW w:w="5727" w:type="dxa"/>
            <w:gridSpan w:val="9"/>
            <w:tcBorders>
              <w:tl2br w:val="nil"/>
              <w:tr2bl w:val="nil"/>
            </w:tcBorders>
            <w:noWrap w:val="0"/>
            <w:vAlign w:val="center"/>
          </w:tcPr>
          <w:p w14:paraId="1445820C">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年初绩效目标</w:t>
            </w:r>
          </w:p>
        </w:tc>
        <w:tc>
          <w:tcPr>
            <w:tcW w:w="3558" w:type="dxa"/>
            <w:gridSpan w:val="3"/>
            <w:tcBorders>
              <w:tl2br w:val="nil"/>
              <w:tr2bl w:val="nil"/>
            </w:tcBorders>
            <w:noWrap w:val="0"/>
            <w:vAlign w:val="center"/>
          </w:tcPr>
          <w:p w14:paraId="724260EA">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全年目标实际完成情况</w:t>
            </w:r>
          </w:p>
        </w:tc>
      </w:tr>
      <w:tr w14:paraId="558A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14:paraId="7C3401B8">
            <w:pPr>
              <w:widowControl/>
              <w:spacing w:line="300" w:lineRule="exact"/>
              <w:rPr>
                <w:rFonts w:ascii="Times New Roman" w:hAnsi="Times New Roman" w:eastAsia="方正仿宋_GBK" w:cs="宋体"/>
                <w:color w:val="000000"/>
                <w:kern w:val="0"/>
                <w:sz w:val="24"/>
                <w:szCs w:val="24"/>
              </w:rPr>
            </w:pPr>
          </w:p>
        </w:tc>
        <w:tc>
          <w:tcPr>
            <w:tcW w:w="5727" w:type="dxa"/>
            <w:gridSpan w:val="9"/>
            <w:tcBorders>
              <w:tl2br w:val="nil"/>
              <w:tr2bl w:val="nil"/>
            </w:tcBorders>
            <w:noWrap w:val="0"/>
            <w:vAlign w:val="center"/>
          </w:tcPr>
          <w:p w14:paraId="22ED4442">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贯彻执行社会救助政策，保障和改善民生，</w:t>
            </w:r>
            <w:r>
              <w:rPr>
                <w:rFonts w:hint="eastAsia" w:ascii="Times New Roman" w:hAnsi="Times New Roman" w:eastAsia="方正仿宋_GBK" w:cs="宋体"/>
                <w:color w:val="000000"/>
                <w:kern w:val="0"/>
                <w:sz w:val="24"/>
                <w:szCs w:val="24"/>
                <w:lang w:val="en-US" w:eastAsia="zh-CN"/>
              </w:rPr>
              <w:t>织密织牢兜底保障安全网</w:t>
            </w:r>
            <w:r>
              <w:rPr>
                <w:rFonts w:hint="eastAsia" w:ascii="Times New Roman" w:hAnsi="Times New Roman" w:eastAsia="方正仿宋_GBK" w:cs="宋体"/>
                <w:color w:val="000000"/>
                <w:kern w:val="0"/>
                <w:sz w:val="24"/>
                <w:szCs w:val="24"/>
              </w:rPr>
              <w:t>；推动养老服务提档升级</w:t>
            </w:r>
            <w:r>
              <w:rPr>
                <w:rFonts w:hint="eastAsia" w:ascii="Times New Roman" w:hAnsi="Times New Roman" w:eastAsia="方正仿宋_GBK" w:cs="宋体"/>
                <w:color w:val="000000"/>
                <w:kern w:val="0"/>
                <w:sz w:val="24"/>
                <w:szCs w:val="24"/>
                <w:lang w:val="en-US" w:eastAsia="zh-CN"/>
              </w:rPr>
              <w:t>；</w:t>
            </w:r>
            <w:r>
              <w:rPr>
                <w:rFonts w:hint="eastAsia" w:ascii="Times New Roman" w:hAnsi="Times New Roman" w:eastAsia="方正仿宋_GBK" w:cs="宋体"/>
                <w:color w:val="000000"/>
                <w:kern w:val="0"/>
                <w:sz w:val="24"/>
                <w:szCs w:val="24"/>
              </w:rPr>
              <w:t>加强儿童关爱保护</w:t>
            </w:r>
            <w:r>
              <w:rPr>
                <w:rFonts w:hint="eastAsia" w:ascii="Times New Roman" w:hAnsi="Times New Roman" w:eastAsia="方正仿宋_GBK" w:cs="宋体"/>
                <w:color w:val="000000"/>
                <w:kern w:val="0"/>
                <w:sz w:val="24"/>
                <w:szCs w:val="24"/>
                <w:lang w:eastAsia="zh-CN"/>
              </w:rPr>
              <w:t>；</w:t>
            </w:r>
            <w:r>
              <w:rPr>
                <w:rFonts w:hint="eastAsia" w:ascii="Times New Roman" w:hAnsi="Times New Roman" w:eastAsia="方正仿宋_GBK" w:cs="宋体"/>
                <w:color w:val="000000"/>
                <w:kern w:val="0"/>
                <w:sz w:val="24"/>
                <w:szCs w:val="24"/>
              </w:rPr>
              <w:t>全面落实社会福利工作；加强区划地名界线管理；持续优化殡葬管理服务；推动慈善事业良好发展。</w:t>
            </w:r>
          </w:p>
        </w:tc>
        <w:tc>
          <w:tcPr>
            <w:tcW w:w="3558" w:type="dxa"/>
            <w:gridSpan w:val="3"/>
            <w:tcBorders>
              <w:tl2br w:val="nil"/>
              <w:tr2bl w:val="nil"/>
            </w:tcBorders>
            <w:noWrap w:val="0"/>
            <w:vAlign w:val="center"/>
          </w:tcPr>
          <w:p w14:paraId="338C66FE">
            <w:pPr>
              <w:widowControl/>
              <w:spacing w:line="300" w:lineRule="exact"/>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兜牢3.74万城乡低保、1.50万特困、2.79万残疾人、569名孤儿及事实无人抚养儿童、艾滋病儿童基本生活保障，发放困难群众救助补助资金4.87亿元。对经济困难的失能、失能老年人开展居家适老化改造，建成老年食堂25家。为996余名监护困境和生活困境儿童落实了“一人一策一专班”分类关护。启动“乡村道路著名三年行动”，设置特色地名标志328个，完成江津地名故事编辑。完成平安边界九龙坡、綦江联合检查工作任务。进一步规范殡葬市场秩序。积极推动慈善和福彩事业发展，全年接收社会捐赠款物645.31万元，支出捐赠款物899.52万元，受助群众4.08万人次</w:t>
            </w:r>
          </w:p>
        </w:tc>
      </w:tr>
      <w:tr w14:paraId="4F4F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6D1A60BE">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绩效指标</w:t>
            </w:r>
          </w:p>
        </w:tc>
        <w:tc>
          <w:tcPr>
            <w:tcW w:w="852" w:type="dxa"/>
            <w:tcBorders>
              <w:tl2br w:val="nil"/>
              <w:tr2bl w:val="nil"/>
            </w:tcBorders>
            <w:noWrap w:val="0"/>
            <w:vAlign w:val="center"/>
          </w:tcPr>
          <w:p w14:paraId="7A743C3E">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14:paraId="69AF5033">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名称</w:t>
            </w:r>
          </w:p>
        </w:tc>
        <w:tc>
          <w:tcPr>
            <w:tcW w:w="540" w:type="dxa"/>
            <w:tcBorders>
              <w:tl2br w:val="nil"/>
              <w:tr2bl w:val="nil"/>
            </w:tcBorders>
            <w:noWrap w:val="0"/>
            <w:vAlign w:val="center"/>
          </w:tcPr>
          <w:p w14:paraId="5A54E59A">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计量</w:t>
            </w:r>
          </w:p>
          <w:p w14:paraId="429839B6">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单位</w:t>
            </w:r>
          </w:p>
        </w:tc>
        <w:tc>
          <w:tcPr>
            <w:tcW w:w="675" w:type="dxa"/>
            <w:tcBorders>
              <w:tl2br w:val="nil"/>
              <w:tr2bl w:val="nil"/>
            </w:tcBorders>
            <w:noWrap w:val="0"/>
            <w:vAlign w:val="center"/>
          </w:tcPr>
          <w:p w14:paraId="41A19C3D">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14:paraId="6FBE6EEB">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性质</w:t>
            </w:r>
          </w:p>
        </w:tc>
        <w:tc>
          <w:tcPr>
            <w:tcW w:w="615" w:type="dxa"/>
            <w:tcBorders>
              <w:tl2br w:val="nil"/>
              <w:tr2bl w:val="nil"/>
            </w:tcBorders>
            <w:noWrap w:val="0"/>
            <w:vAlign w:val="center"/>
          </w:tcPr>
          <w:p w14:paraId="5E3C1850">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14:paraId="4BFE56FD">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值</w:t>
            </w:r>
          </w:p>
        </w:tc>
        <w:tc>
          <w:tcPr>
            <w:tcW w:w="930" w:type="dxa"/>
            <w:gridSpan w:val="2"/>
            <w:tcBorders>
              <w:tl2br w:val="nil"/>
              <w:tr2bl w:val="nil"/>
            </w:tcBorders>
            <w:noWrap w:val="0"/>
            <w:vAlign w:val="center"/>
          </w:tcPr>
          <w:p w14:paraId="29C6C0CD">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全年</w:t>
            </w:r>
          </w:p>
          <w:p w14:paraId="2E06D752">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完成值</w:t>
            </w:r>
          </w:p>
        </w:tc>
        <w:tc>
          <w:tcPr>
            <w:tcW w:w="1065" w:type="dxa"/>
            <w:gridSpan w:val="2"/>
            <w:tcBorders>
              <w:tl2br w:val="nil"/>
              <w:tr2bl w:val="nil"/>
            </w:tcBorders>
            <w:noWrap w:val="0"/>
            <w:vAlign w:val="center"/>
          </w:tcPr>
          <w:p w14:paraId="74C166ED">
            <w:pPr>
              <w:widowControl/>
              <w:spacing w:line="300" w:lineRule="exact"/>
              <w:jc w:val="center"/>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偏离度（%）</w:t>
            </w:r>
          </w:p>
        </w:tc>
        <w:tc>
          <w:tcPr>
            <w:tcW w:w="1050" w:type="dxa"/>
            <w:tcBorders>
              <w:tl2br w:val="nil"/>
              <w:tr2bl w:val="nil"/>
            </w:tcBorders>
            <w:noWrap w:val="0"/>
            <w:vAlign w:val="center"/>
          </w:tcPr>
          <w:p w14:paraId="3A7ED472">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得分</w:t>
            </w:r>
          </w:p>
          <w:p w14:paraId="26E4FEA4">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系数</w:t>
            </w:r>
          </w:p>
          <w:p w14:paraId="60F9C4DA">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w:t>
            </w:r>
          </w:p>
        </w:tc>
        <w:tc>
          <w:tcPr>
            <w:tcW w:w="1327" w:type="dxa"/>
            <w:tcBorders>
              <w:tl2br w:val="nil"/>
              <w:tr2bl w:val="nil"/>
            </w:tcBorders>
            <w:noWrap w:val="0"/>
            <w:vAlign w:val="center"/>
          </w:tcPr>
          <w:p w14:paraId="34551FB6">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14:paraId="3D50FCE1">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权重</w:t>
            </w:r>
          </w:p>
          <w:p w14:paraId="79D704F6">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c>
          <w:tcPr>
            <w:tcW w:w="2231" w:type="dxa"/>
            <w:gridSpan w:val="2"/>
            <w:tcBorders>
              <w:tl2br w:val="nil"/>
              <w:tr2bl w:val="nil"/>
            </w:tcBorders>
            <w:noWrap w:val="0"/>
            <w:vAlign w:val="center"/>
          </w:tcPr>
          <w:p w14:paraId="1A448587">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指标得分</w:t>
            </w:r>
          </w:p>
          <w:p w14:paraId="017CE7F4">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r>
      <w:tr w14:paraId="5BE4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textDirection w:val="tbRlV"/>
            <w:vAlign w:val="center"/>
          </w:tcPr>
          <w:p w14:paraId="108FB584">
            <w:pPr>
              <w:widowControl/>
              <w:spacing w:line="300" w:lineRule="exact"/>
              <w:jc w:val="center"/>
              <w:rPr>
                <w:rFonts w:hint="eastAsia" w:ascii="Times New Roman" w:hAnsi="Times New Roman" w:eastAsia="方正仿宋_GBK" w:cs="宋体"/>
                <w:color w:val="000000"/>
                <w:kern w:val="0"/>
                <w:sz w:val="24"/>
                <w:szCs w:val="24"/>
              </w:rPr>
            </w:pPr>
          </w:p>
        </w:tc>
        <w:tc>
          <w:tcPr>
            <w:tcW w:w="852" w:type="dxa"/>
            <w:tcBorders>
              <w:tl2br w:val="nil"/>
              <w:tr2bl w:val="nil"/>
            </w:tcBorders>
            <w:noWrap w:val="0"/>
            <w:vAlign w:val="center"/>
          </w:tcPr>
          <w:p w14:paraId="328D5DB7">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服务民政对象人数</w:t>
            </w:r>
          </w:p>
        </w:tc>
        <w:tc>
          <w:tcPr>
            <w:tcW w:w="540" w:type="dxa"/>
            <w:tcBorders>
              <w:tl2br w:val="nil"/>
              <w:tr2bl w:val="nil"/>
            </w:tcBorders>
            <w:noWrap w:val="0"/>
            <w:vAlign w:val="center"/>
          </w:tcPr>
          <w:p w14:paraId="2C529F48">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万人</w:t>
            </w:r>
          </w:p>
        </w:tc>
        <w:tc>
          <w:tcPr>
            <w:tcW w:w="675" w:type="dxa"/>
            <w:tcBorders>
              <w:tl2br w:val="nil"/>
              <w:tr2bl w:val="nil"/>
            </w:tcBorders>
            <w:noWrap w:val="0"/>
            <w:vAlign w:val="center"/>
          </w:tcPr>
          <w:p w14:paraId="4481F23B">
            <w:pPr>
              <w:widowControl/>
              <w:spacing w:line="300" w:lineRule="exact"/>
              <w:jc w:val="center"/>
              <w:rPr>
                <w:rFonts w:hint="eastAsia" w:ascii="Times New Roman" w:hAnsi="Times New Roman" w:eastAsia="方正仿宋_GBK"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w:t>
            </w:r>
          </w:p>
        </w:tc>
        <w:tc>
          <w:tcPr>
            <w:tcW w:w="615" w:type="dxa"/>
            <w:tcBorders>
              <w:tl2br w:val="nil"/>
              <w:tr2bl w:val="nil"/>
            </w:tcBorders>
            <w:noWrap w:val="0"/>
            <w:vAlign w:val="center"/>
          </w:tcPr>
          <w:p w14:paraId="7F4B7359">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12</w:t>
            </w:r>
          </w:p>
        </w:tc>
        <w:tc>
          <w:tcPr>
            <w:tcW w:w="930" w:type="dxa"/>
            <w:gridSpan w:val="2"/>
            <w:tcBorders>
              <w:tl2br w:val="nil"/>
              <w:tr2bl w:val="nil"/>
            </w:tcBorders>
            <w:noWrap w:val="0"/>
            <w:vAlign w:val="center"/>
          </w:tcPr>
          <w:p w14:paraId="3A338AC5">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13.5</w:t>
            </w:r>
          </w:p>
        </w:tc>
        <w:tc>
          <w:tcPr>
            <w:tcW w:w="1065" w:type="dxa"/>
            <w:gridSpan w:val="2"/>
            <w:tcBorders>
              <w:tl2br w:val="nil"/>
              <w:tr2bl w:val="nil"/>
            </w:tcBorders>
            <w:noWrap w:val="0"/>
            <w:vAlign w:val="center"/>
          </w:tcPr>
          <w:p w14:paraId="5D3863AD">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12.5</w:t>
            </w:r>
          </w:p>
        </w:tc>
        <w:tc>
          <w:tcPr>
            <w:tcW w:w="1050" w:type="dxa"/>
            <w:tcBorders>
              <w:tl2br w:val="nil"/>
              <w:tr2bl w:val="nil"/>
            </w:tcBorders>
            <w:noWrap w:val="0"/>
            <w:vAlign w:val="center"/>
          </w:tcPr>
          <w:p w14:paraId="75C001F2">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1327" w:type="dxa"/>
            <w:tcBorders>
              <w:tl2br w:val="nil"/>
              <w:tr2bl w:val="nil"/>
            </w:tcBorders>
            <w:noWrap w:val="0"/>
            <w:vAlign w:val="center"/>
          </w:tcPr>
          <w:p w14:paraId="4031C8D0">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c>
          <w:tcPr>
            <w:tcW w:w="2231" w:type="dxa"/>
            <w:gridSpan w:val="2"/>
            <w:tcBorders>
              <w:tl2br w:val="nil"/>
              <w:tr2bl w:val="nil"/>
            </w:tcBorders>
            <w:noWrap w:val="0"/>
            <w:vAlign w:val="center"/>
          </w:tcPr>
          <w:p w14:paraId="19E14D16">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r>
      <w:tr w14:paraId="5DA0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textDirection w:val="tbRlV"/>
            <w:vAlign w:val="center"/>
          </w:tcPr>
          <w:p w14:paraId="538102D0">
            <w:pPr>
              <w:widowControl/>
              <w:spacing w:line="300" w:lineRule="exact"/>
              <w:jc w:val="center"/>
              <w:rPr>
                <w:rFonts w:hint="eastAsia" w:ascii="Times New Roman" w:hAnsi="Times New Roman" w:eastAsia="方正仿宋_GBK" w:cs="宋体"/>
                <w:color w:val="000000"/>
                <w:kern w:val="0"/>
                <w:sz w:val="24"/>
                <w:szCs w:val="24"/>
              </w:rPr>
            </w:pPr>
          </w:p>
        </w:tc>
        <w:tc>
          <w:tcPr>
            <w:tcW w:w="852" w:type="dxa"/>
            <w:tcBorders>
              <w:tl2br w:val="nil"/>
              <w:tr2bl w:val="nil"/>
            </w:tcBorders>
            <w:noWrap w:val="0"/>
            <w:vAlign w:val="center"/>
          </w:tcPr>
          <w:p w14:paraId="60DD90D2">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民政对象待遇发放准确率</w:t>
            </w:r>
          </w:p>
        </w:tc>
        <w:tc>
          <w:tcPr>
            <w:tcW w:w="540" w:type="dxa"/>
            <w:tcBorders>
              <w:tl2br w:val="nil"/>
              <w:tr2bl w:val="nil"/>
            </w:tcBorders>
            <w:noWrap w:val="0"/>
            <w:vAlign w:val="center"/>
          </w:tcPr>
          <w:p w14:paraId="466BF8F2">
            <w:pPr>
              <w:widowControl/>
              <w:spacing w:line="300" w:lineRule="exact"/>
              <w:jc w:val="center"/>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w:t>
            </w:r>
          </w:p>
        </w:tc>
        <w:tc>
          <w:tcPr>
            <w:tcW w:w="675" w:type="dxa"/>
            <w:tcBorders>
              <w:tl2br w:val="nil"/>
              <w:tr2bl w:val="nil"/>
            </w:tcBorders>
            <w:noWrap w:val="0"/>
            <w:vAlign w:val="center"/>
          </w:tcPr>
          <w:p w14:paraId="3BA17967">
            <w:pPr>
              <w:widowControl/>
              <w:spacing w:line="300" w:lineRule="exact"/>
              <w:jc w:val="center"/>
              <w:rPr>
                <w:rFonts w:hint="eastAsia" w:ascii="Times New Roman" w:hAnsi="Times New Roman" w:eastAsia="方正仿宋_GBK"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w:t>
            </w:r>
          </w:p>
        </w:tc>
        <w:tc>
          <w:tcPr>
            <w:tcW w:w="615" w:type="dxa"/>
            <w:tcBorders>
              <w:tl2br w:val="nil"/>
              <w:tr2bl w:val="nil"/>
            </w:tcBorders>
            <w:noWrap w:val="0"/>
            <w:vAlign w:val="center"/>
          </w:tcPr>
          <w:p w14:paraId="7B02F20F">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90</w:t>
            </w:r>
          </w:p>
        </w:tc>
        <w:tc>
          <w:tcPr>
            <w:tcW w:w="930" w:type="dxa"/>
            <w:gridSpan w:val="2"/>
            <w:tcBorders>
              <w:tl2br w:val="nil"/>
              <w:tr2bl w:val="nil"/>
            </w:tcBorders>
            <w:noWrap w:val="0"/>
            <w:vAlign w:val="center"/>
          </w:tcPr>
          <w:p w14:paraId="12D9AEF7">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93</w:t>
            </w:r>
          </w:p>
        </w:tc>
        <w:tc>
          <w:tcPr>
            <w:tcW w:w="1065" w:type="dxa"/>
            <w:gridSpan w:val="2"/>
            <w:tcBorders>
              <w:tl2br w:val="nil"/>
              <w:tr2bl w:val="nil"/>
            </w:tcBorders>
            <w:noWrap w:val="0"/>
            <w:vAlign w:val="center"/>
          </w:tcPr>
          <w:p w14:paraId="37C59CB5">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3.33</w:t>
            </w:r>
          </w:p>
        </w:tc>
        <w:tc>
          <w:tcPr>
            <w:tcW w:w="1050" w:type="dxa"/>
            <w:tcBorders>
              <w:tl2br w:val="nil"/>
              <w:tr2bl w:val="nil"/>
            </w:tcBorders>
            <w:noWrap w:val="0"/>
            <w:vAlign w:val="center"/>
          </w:tcPr>
          <w:p w14:paraId="61C5F5BD">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1327" w:type="dxa"/>
            <w:tcBorders>
              <w:tl2br w:val="nil"/>
              <w:tr2bl w:val="nil"/>
            </w:tcBorders>
            <w:noWrap w:val="0"/>
            <w:vAlign w:val="center"/>
          </w:tcPr>
          <w:p w14:paraId="29DF618B">
            <w:pPr>
              <w:widowControl/>
              <w:spacing w:line="300" w:lineRule="exact"/>
              <w:ind w:firstLine="480" w:firstLineChars="200"/>
              <w:jc w:val="both"/>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c>
          <w:tcPr>
            <w:tcW w:w="2231" w:type="dxa"/>
            <w:gridSpan w:val="2"/>
            <w:tcBorders>
              <w:tl2br w:val="nil"/>
              <w:tr2bl w:val="nil"/>
            </w:tcBorders>
            <w:noWrap w:val="0"/>
            <w:vAlign w:val="center"/>
          </w:tcPr>
          <w:p w14:paraId="162B13D5">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r>
      <w:tr w14:paraId="59AB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textDirection w:val="tbRlV"/>
            <w:vAlign w:val="center"/>
          </w:tcPr>
          <w:p w14:paraId="79642863">
            <w:pPr>
              <w:widowControl/>
              <w:spacing w:line="300" w:lineRule="exact"/>
              <w:jc w:val="center"/>
              <w:rPr>
                <w:rFonts w:hint="eastAsia" w:ascii="Times New Roman" w:hAnsi="Times New Roman" w:eastAsia="方正仿宋_GBK" w:cs="宋体"/>
                <w:color w:val="000000"/>
                <w:kern w:val="0"/>
                <w:sz w:val="24"/>
                <w:szCs w:val="24"/>
              </w:rPr>
            </w:pPr>
          </w:p>
        </w:tc>
        <w:tc>
          <w:tcPr>
            <w:tcW w:w="852" w:type="dxa"/>
            <w:tcBorders>
              <w:tl2br w:val="nil"/>
              <w:tr2bl w:val="nil"/>
            </w:tcBorders>
            <w:noWrap w:val="0"/>
            <w:vAlign w:val="center"/>
          </w:tcPr>
          <w:p w14:paraId="0C3ABCE3">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群众对民政政策知晓率</w:t>
            </w:r>
          </w:p>
        </w:tc>
        <w:tc>
          <w:tcPr>
            <w:tcW w:w="540" w:type="dxa"/>
            <w:tcBorders>
              <w:tl2br w:val="nil"/>
              <w:tr2bl w:val="nil"/>
            </w:tcBorders>
            <w:noWrap w:val="0"/>
            <w:vAlign w:val="center"/>
          </w:tcPr>
          <w:p w14:paraId="0D9E7A9D">
            <w:pPr>
              <w:widowControl/>
              <w:spacing w:line="300" w:lineRule="exact"/>
              <w:jc w:val="center"/>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w:t>
            </w:r>
          </w:p>
        </w:tc>
        <w:tc>
          <w:tcPr>
            <w:tcW w:w="675" w:type="dxa"/>
            <w:tcBorders>
              <w:tl2br w:val="nil"/>
              <w:tr2bl w:val="nil"/>
            </w:tcBorders>
            <w:noWrap w:val="0"/>
            <w:vAlign w:val="center"/>
          </w:tcPr>
          <w:p w14:paraId="234F42B9">
            <w:pPr>
              <w:widowControl/>
              <w:spacing w:line="300" w:lineRule="exact"/>
              <w:jc w:val="center"/>
              <w:rPr>
                <w:rFonts w:hint="eastAsia" w:ascii="Times New Roman" w:hAnsi="Times New Roman" w:eastAsia="方正仿宋_GBK"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w:t>
            </w:r>
          </w:p>
        </w:tc>
        <w:tc>
          <w:tcPr>
            <w:tcW w:w="615" w:type="dxa"/>
            <w:tcBorders>
              <w:tl2br w:val="nil"/>
              <w:tr2bl w:val="nil"/>
            </w:tcBorders>
            <w:noWrap w:val="0"/>
            <w:vAlign w:val="center"/>
          </w:tcPr>
          <w:p w14:paraId="3AEBA2C0">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85</w:t>
            </w:r>
          </w:p>
        </w:tc>
        <w:tc>
          <w:tcPr>
            <w:tcW w:w="930" w:type="dxa"/>
            <w:gridSpan w:val="2"/>
            <w:tcBorders>
              <w:tl2br w:val="nil"/>
              <w:tr2bl w:val="nil"/>
            </w:tcBorders>
            <w:noWrap w:val="0"/>
            <w:vAlign w:val="center"/>
          </w:tcPr>
          <w:p w14:paraId="37F1B4F8">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86</w:t>
            </w:r>
          </w:p>
        </w:tc>
        <w:tc>
          <w:tcPr>
            <w:tcW w:w="1065" w:type="dxa"/>
            <w:gridSpan w:val="2"/>
            <w:tcBorders>
              <w:tl2br w:val="nil"/>
              <w:tr2bl w:val="nil"/>
            </w:tcBorders>
            <w:noWrap w:val="0"/>
            <w:vAlign w:val="center"/>
          </w:tcPr>
          <w:p w14:paraId="5F13C6EF">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1.18</w:t>
            </w:r>
          </w:p>
        </w:tc>
        <w:tc>
          <w:tcPr>
            <w:tcW w:w="1050" w:type="dxa"/>
            <w:tcBorders>
              <w:tl2br w:val="nil"/>
              <w:tr2bl w:val="nil"/>
            </w:tcBorders>
            <w:noWrap w:val="0"/>
            <w:vAlign w:val="center"/>
          </w:tcPr>
          <w:p w14:paraId="4F39DAFB">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1327" w:type="dxa"/>
            <w:tcBorders>
              <w:tl2br w:val="nil"/>
              <w:tr2bl w:val="nil"/>
            </w:tcBorders>
            <w:noWrap w:val="0"/>
            <w:vAlign w:val="center"/>
          </w:tcPr>
          <w:p w14:paraId="1BAF40A6">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c>
          <w:tcPr>
            <w:tcW w:w="2231" w:type="dxa"/>
            <w:gridSpan w:val="2"/>
            <w:tcBorders>
              <w:tl2br w:val="nil"/>
              <w:tr2bl w:val="nil"/>
            </w:tcBorders>
            <w:noWrap w:val="0"/>
            <w:vAlign w:val="center"/>
          </w:tcPr>
          <w:p w14:paraId="51762A12">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r>
      <w:tr w14:paraId="2D64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textDirection w:val="tbRlV"/>
            <w:vAlign w:val="center"/>
          </w:tcPr>
          <w:p w14:paraId="63A32378">
            <w:pPr>
              <w:widowControl/>
              <w:spacing w:line="300" w:lineRule="exact"/>
              <w:jc w:val="center"/>
              <w:rPr>
                <w:rFonts w:hint="eastAsia" w:ascii="Times New Roman" w:hAnsi="Times New Roman" w:eastAsia="方正仿宋_GBK" w:cs="宋体"/>
                <w:color w:val="000000"/>
                <w:kern w:val="0"/>
                <w:sz w:val="24"/>
                <w:szCs w:val="24"/>
              </w:rPr>
            </w:pPr>
          </w:p>
        </w:tc>
        <w:tc>
          <w:tcPr>
            <w:tcW w:w="852" w:type="dxa"/>
            <w:tcBorders>
              <w:tl2br w:val="nil"/>
              <w:tr2bl w:val="nil"/>
            </w:tcBorders>
            <w:noWrap w:val="0"/>
            <w:vAlign w:val="center"/>
          </w:tcPr>
          <w:p w14:paraId="5BC76F3B">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受益对象对政策的满意度</w:t>
            </w:r>
          </w:p>
        </w:tc>
        <w:tc>
          <w:tcPr>
            <w:tcW w:w="540" w:type="dxa"/>
            <w:tcBorders>
              <w:tl2br w:val="nil"/>
              <w:tr2bl w:val="nil"/>
            </w:tcBorders>
            <w:noWrap w:val="0"/>
            <w:vAlign w:val="center"/>
          </w:tcPr>
          <w:p w14:paraId="069FED03">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w:t>
            </w:r>
          </w:p>
        </w:tc>
        <w:tc>
          <w:tcPr>
            <w:tcW w:w="675" w:type="dxa"/>
            <w:tcBorders>
              <w:tl2br w:val="nil"/>
              <w:tr2bl w:val="nil"/>
            </w:tcBorders>
            <w:noWrap w:val="0"/>
            <w:vAlign w:val="center"/>
          </w:tcPr>
          <w:p w14:paraId="25419C94">
            <w:pPr>
              <w:widowControl/>
              <w:spacing w:line="300" w:lineRule="exact"/>
              <w:jc w:val="center"/>
              <w:rPr>
                <w:rFonts w:hint="eastAsia" w:ascii="方正仿宋_GBK" w:hAnsi="方正仿宋_GBK" w:eastAsia="方正仿宋_GBK" w:cs="方正仿宋_GBK"/>
                <w:color w:val="000000"/>
                <w:kern w:val="0"/>
                <w:sz w:val="24"/>
                <w:szCs w:val="24"/>
              </w:rPr>
            </w:pPr>
            <w:r>
              <w:rPr>
                <w:rFonts w:hint="eastAsia" w:ascii="宋体" w:hAnsi="宋体" w:eastAsia="宋体" w:cs="宋体"/>
                <w:i w:val="0"/>
                <w:iCs w:val="0"/>
                <w:color w:val="000000"/>
                <w:kern w:val="0"/>
                <w:sz w:val="20"/>
                <w:szCs w:val="20"/>
                <w:u w:val="none"/>
                <w:lang w:val="en-US" w:eastAsia="zh-CN" w:bidi="ar"/>
              </w:rPr>
              <w:t>≧</w:t>
            </w:r>
          </w:p>
        </w:tc>
        <w:tc>
          <w:tcPr>
            <w:tcW w:w="615" w:type="dxa"/>
            <w:tcBorders>
              <w:tl2br w:val="nil"/>
              <w:tr2bl w:val="nil"/>
            </w:tcBorders>
            <w:noWrap w:val="0"/>
            <w:vAlign w:val="center"/>
          </w:tcPr>
          <w:p w14:paraId="6CCE483D">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85</w:t>
            </w:r>
          </w:p>
        </w:tc>
        <w:tc>
          <w:tcPr>
            <w:tcW w:w="930" w:type="dxa"/>
            <w:gridSpan w:val="2"/>
            <w:tcBorders>
              <w:tl2br w:val="nil"/>
              <w:tr2bl w:val="nil"/>
            </w:tcBorders>
            <w:noWrap w:val="0"/>
            <w:vAlign w:val="center"/>
          </w:tcPr>
          <w:p w14:paraId="31470154">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86</w:t>
            </w:r>
          </w:p>
        </w:tc>
        <w:tc>
          <w:tcPr>
            <w:tcW w:w="1065" w:type="dxa"/>
            <w:gridSpan w:val="2"/>
            <w:tcBorders>
              <w:tl2br w:val="nil"/>
              <w:tr2bl w:val="nil"/>
            </w:tcBorders>
            <w:noWrap w:val="0"/>
            <w:vAlign w:val="center"/>
          </w:tcPr>
          <w:p w14:paraId="50AC2578">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1.18</w:t>
            </w:r>
          </w:p>
        </w:tc>
        <w:tc>
          <w:tcPr>
            <w:tcW w:w="1050" w:type="dxa"/>
            <w:tcBorders>
              <w:tl2br w:val="nil"/>
              <w:tr2bl w:val="nil"/>
            </w:tcBorders>
            <w:noWrap w:val="0"/>
            <w:vAlign w:val="center"/>
          </w:tcPr>
          <w:p w14:paraId="373A3713">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1327" w:type="dxa"/>
            <w:tcBorders>
              <w:tl2br w:val="nil"/>
              <w:tr2bl w:val="nil"/>
            </w:tcBorders>
            <w:noWrap w:val="0"/>
            <w:vAlign w:val="center"/>
          </w:tcPr>
          <w:p w14:paraId="0B18319A">
            <w:pPr>
              <w:widowControl/>
              <w:spacing w:line="300" w:lineRule="exact"/>
              <w:ind w:firstLine="480" w:firstLineChars="200"/>
              <w:jc w:val="both"/>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c>
          <w:tcPr>
            <w:tcW w:w="2231" w:type="dxa"/>
            <w:gridSpan w:val="2"/>
            <w:tcBorders>
              <w:tl2br w:val="nil"/>
              <w:tr2bl w:val="nil"/>
            </w:tcBorders>
            <w:noWrap w:val="0"/>
            <w:vAlign w:val="center"/>
          </w:tcPr>
          <w:p w14:paraId="7BBE222B">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r>
      <w:tr w14:paraId="4001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textDirection w:val="tbRlV"/>
            <w:vAlign w:val="center"/>
          </w:tcPr>
          <w:p w14:paraId="272501FF">
            <w:pPr>
              <w:widowControl/>
              <w:spacing w:line="300" w:lineRule="exact"/>
              <w:jc w:val="center"/>
              <w:rPr>
                <w:rFonts w:hint="eastAsia" w:ascii="Times New Roman" w:hAnsi="Times New Roman" w:eastAsia="方正仿宋_GBK" w:cs="宋体"/>
                <w:color w:val="000000"/>
                <w:kern w:val="0"/>
                <w:sz w:val="24"/>
                <w:szCs w:val="24"/>
              </w:rPr>
            </w:pPr>
          </w:p>
        </w:tc>
        <w:tc>
          <w:tcPr>
            <w:tcW w:w="852" w:type="dxa"/>
            <w:tcBorders>
              <w:tl2br w:val="nil"/>
              <w:tr2bl w:val="nil"/>
            </w:tcBorders>
            <w:noWrap w:val="0"/>
            <w:vAlign w:val="center"/>
          </w:tcPr>
          <w:p w14:paraId="4C60339E">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民政支出</w:t>
            </w:r>
          </w:p>
        </w:tc>
        <w:tc>
          <w:tcPr>
            <w:tcW w:w="540" w:type="dxa"/>
            <w:tcBorders>
              <w:tl2br w:val="nil"/>
              <w:tr2bl w:val="nil"/>
            </w:tcBorders>
            <w:noWrap w:val="0"/>
            <w:vAlign w:val="center"/>
          </w:tcPr>
          <w:p w14:paraId="49D4620A">
            <w:pPr>
              <w:widowControl/>
              <w:spacing w:line="300" w:lineRule="exact"/>
              <w:jc w:val="center"/>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w:t>
            </w:r>
          </w:p>
        </w:tc>
        <w:tc>
          <w:tcPr>
            <w:tcW w:w="675" w:type="dxa"/>
            <w:tcBorders>
              <w:tl2br w:val="nil"/>
              <w:tr2bl w:val="nil"/>
            </w:tcBorders>
            <w:noWrap w:val="0"/>
            <w:vAlign w:val="center"/>
          </w:tcPr>
          <w:p w14:paraId="17A22986">
            <w:pPr>
              <w:widowControl/>
              <w:spacing w:line="300" w:lineRule="exact"/>
              <w:jc w:val="center"/>
              <w:rPr>
                <w:rFonts w:hint="eastAsia" w:ascii="Times New Roman" w:hAnsi="Times New Roman" w:eastAsia="方正仿宋_GBK" w:cs="宋体"/>
                <w:color w:val="000000"/>
                <w:kern w:val="0"/>
                <w:sz w:val="24"/>
                <w:szCs w:val="24"/>
              </w:rPr>
            </w:pPr>
            <w:r>
              <w:rPr>
                <w:rFonts w:hint="eastAsia" w:ascii="方正仿宋_GBK" w:hAnsi="方正仿宋_GBK" w:eastAsia="方正仿宋_GBK" w:cs="方正仿宋_GBK"/>
                <w:color w:val="000000"/>
                <w:kern w:val="0"/>
                <w:sz w:val="24"/>
                <w:szCs w:val="24"/>
              </w:rPr>
              <w:t>≦</w:t>
            </w:r>
          </w:p>
        </w:tc>
        <w:tc>
          <w:tcPr>
            <w:tcW w:w="615" w:type="dxa"/>
            <w:tcBorders>
              <w:tl2br w:val="nil"/>
              <w:tr2bl w:val="nil"/>
            </w:tcBorders>
            <w:noWrap w:val="0"/>
            <w:vAlign w:val="center"/>
          </w:tcPr>
          <w:p w14:paraId="13B53ADC">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7.5</w:t>
            </w:r>
          </w:p>
        </w:tc>
        <w:tc>
          <w:tcPr>
            <w:tcW w:w="930" w:type="dxa"/>
            <w:gridSpan w:val="2"/>
            <w:tcBorders>
              <w:tl2br w:val="nil"/>
              <w:tr2bl w:val="nil"/>
            </w:tcBorders>
            <w:noWrap w:val="0"/>
            <w:vAlign w:val="center"/>
          </w:tcPr>
          <w:p w14:paraId="109B1F49">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6.9</w:t>
            </w:r>
          </w:p>
        </w:tc>
        <w:tc>
          <w:tcPr>
            <w:tcW w:w="1065" w:type="dxa"/>
            <w:gridSpan w:val="2"/>
            <w:tcBorders>
              <w:tl2br w:val="nil"/>
              <w:tr2bl w:val="nil"/>
            </w:tcBorders>
            <w:noWrap w:val="0"/>
            <w:vAlign w:val="center"/>
          </w:tcPr>
          <w:p w14:paraId="201729BE">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8</w:t>
            </w:r>
          </w:p>
        </w:tc>
        <w:tc>
          <w:tcPr>
            <w:tcW w:w="1050" w:type="dxa"/>
            <w:tcBorders>
              <w:tl2br w:val="nil"/>
              <w:tr2bl w:val="nil"/>
            </w:tcBorders>
            <w:noWrap w:val="0"/>
            <w:vAlign w:val="center"/>
          </w:tcPr>
          <w:p w14:paraId="39B6341E">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1327" w:type="dxa"/>
            <w:tcBorders>
              <w:tl2br w:val="nil"/>
              <w:tr2bl w:val="nil"/>
            </w:tcBorders>
            <w:noWrap w:val="0"/>
            <w:vAlign w:val="center"/>
          </w:tcPr>
          <w:p w14:paraId="17B6E68A">
            <w:pPr>
              <w:widowControl/>
              <w:spacing w:line="300" w:lineRule="exact"/>
              <w:ind w:firstLine="480" w:firstLineChars="200"/>
              <w:jc w:val="both"/>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c>
          <w:tcPr>
            <w:tcW w:w="2231" w:type="dxa"/>
            <w:gridSpan w:val="2"/>
            <w:tcBorders>
              <w:tl2br w:val="nil"/>
              <w:tr2bl w:val="nil"/>
            </w:tcBorders>
            <w:noWrap w:val="0"/>
            <w:vAlign w:val="center"/>
          </w:tcPr>
          <w:p w14:paraId="46952554">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r>
      <w:tr w14:paraId="4E6E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47" w:type="dxa"/>
            <w:tcBorders>
              <w:tl2br w:val="nil"/>
              <w:tr2bl w:val="nil"/>
            </w:tcBorders>
            <w:noWrap w:val="0"/>
            <w:vAlign w:val="center"/>
          </w:tcPr>
          <w:p w14:paraId="53ED4528">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说明</w:t>
            </w:r>
          </w:p>
        </w:tc>
        <w:tc>
          <w:tcPr>
            <w:tcW w:w="9285" w:type="dxa"/>
            <w:gridSpan w:val="12"/>
            <w:tcBorders>
              <w:tl2br w:val="nil"/>
              <w:tr2bl w:val="nil"/>
            </w:tcBorders>
            <w:noWrap w:val="0"/>
            <w:vAlign w:val="center"/>
          </w:tcPr>
          <w:p w14:paraId="25FFFE05">
            <w:pPr>
              <w:widowControl/>
              <w:spacing w:line="300" w:lineRule="exact"/>
              <w:rPr>
                <w:rFonts w:hint="eastAsia" w:ascii="Times New Roman" w:hAnsi="Times New Roman" w:eastAsia="方正仿宋_GBK" w:cs="宋体"/>
                <w:color w:val="000000"/>
                <w:kern w:val="0"/>
                <w:sz w:val="24"/>
                <w:szCs w:val="24"/>
              </w:rPr>
            </w:pPr>
          </w:p>
        </w:tc>
      </w:tr>
    </w:tbl>
    <w:p w14:paraId="5C198E21">
      <w:pPr>
        <w:pStyle w:val="4"/>
        <w:shd w:val="clear" w:color="auto" w:fill="FFFFFF"/>
        <w:snapToGrid w:val="0"/>
        <w:ind w:firstLine="720" w:firstLineChars="200"/>
        <w:jc w:val="center"/>
        <w:rPr>
          <w:rFonts w:hint="eastAsia" w:ascii="Times New Roman" w:hAnsi="Times New Roman" w:eastAsia="方正小标宋_GBK" w:cs="宋体"/>
          <w:color w:val="000000"/>
          <w:kern w:val="0"/>
          <w:sz w:val="36"/>
          <w:szCs w:val="36"/>
          <w:lang w:val="en-US" w:eastAsia="zh-CN"/>
        </w:rPr>
      </w:pPr>
    </w:p>
    <w:p w14:paraId="0D11B9EB">
      <w:pPr>
        <w:pStyle w:val="4"/>
        <w:shd w:val="clear" w:color="auto" w:fill="FFFFFF"/>
        <w:snapToGrid w:val="0"/>
        <w:ind w:firstLine="720" w:firstLineChars="200"/>
        <w:jc w:val="center"/>
        <w:rPr>
          <w:rFonts w:hint="eastAsia" w:ascii="方正黑体_GBK" w:hAnsi="方正黑体_GBK" w:eastAsia="方正黑体_GBK" w:cs="方正黑体_GBK"/>
          <w:color w:val="000000"/>
          <w:kern w:val="0"/>
          <w:sz w:val="36"/>
          <w:szCs w:val="36"/>
          <w:lang w:val="en-US" w:eastAsia="zh-CN"/>
        </w:rPr>
      </w:pPr>
    </w:p>
    <w:p w14:paraId="1DCC8F2F">
      <w:pPr>
        <w:pStyle w:val="4"/>
        <w:shd w:val="clear" w:color="auto" w:fill="FFFFFF"/>
        <w:snapToGrid w:val="0"/>
        <w:ind w:firstLine="720" w:firstLineChars="200"/>
        <w:jc w:val="center"/>
        <w:rPr>
          <w:rStyle w:val="7"/>
          <w:rFonts w:hint="eastAsia" w:ascii="方正黑体_GBK" w:hAnsi="方正黑体_GBK" w:eastAsia="方正黑体_GBK" w:cs="方正黑体_GBK"/>
          <w:sz w:val="27"/>
          <w:szCs w:val="27"/>
        </w:rPr>
      </w:pPr>
      <w:r>
        <w:rPr>
          <w:rFonts w:hint="eastAsia" w:ascii="方正黑体_GBK" w:hAnsi="方正黑体_GBK" w:eastAsia="方正黑体_GBK" w:cs="方正黑体_GBK"/>
          <w:color w:val="000000"/>
          <w:kern w:val="0"/>
          <w:sz w:val="36"/>
          <w:szCs w:val="36"/>
          <w:lang w:val="en-US" w:eastAsia="zh-CN"/>
        </w:rPr>
        <w:t>2024年度项目</w:t>
      </w:r>
      <w:r>
        <w:rPr>
          <w:rFonts w:hint="eastAsia" w:ascii="方正黑体_GBK" w:hAnsi="方正黑体_GBK" w:eastAsia="方正黑体_GBK" w:cs="方正黑体_GBK"/>
          <w:color w:val="000000"/>
          <w:kern w:val="0"/>
          <w:sz w:val="36"/>
          <w:szCs w:val="36"/>
        </w:rPr>
        <w:t>绩效自评表</w:t>
      </w:r>
    </w:p>
    <w:tbl>
      <w:tblPr>
        <w:tblStyle w:val="5"/>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964"/>
        <w:gridCol w:w="500"/>
        <w:gridCol w:w="709"/>
        <w:gridCol w:w="531"/>
        <w:gridCol w:w="177"/>
        <w:gridCol w:w="857"/>
        <w:gridCol w:w="106"/>
        <w:gridCol w:w="752"/>
        <w:gridCol w:w="1099"/>
        <w:gridCol w:w="1359"/>
        <w:gridCol w:w="993"/>
        <w:gridCol w:w="1238"/>
      </w:tblGrid>
      <w:tr w14:paraId="55E6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2775125F">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项目</w:t>
            </w:r>
          </w:p>
          <w:p w14:paraId="4C084224">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名称</w:t>
            </w:r>
          </w:p>
        </w:tc>
        <w:tc>
          <w:tcPr>
            <w:tcW w:w="3844" w:type="dxa"/>
            <w:gridSpan w:val="7"/>
            <w:tcBorders>
              <w:tl2br w:val="nil"/>
              <w:tr2bl w:val="nil"/>
            </w:tcBorders>
            <w:noWrap w:val="0"/>
            <w:vAlign w:val="center"/>
          </w:tcPr>
          <w:p w14:paraId="6BDA9D46">
            <w:pPr>
              <w:widowControl/>
              <w:spacing w:line="300" w:lineRule="exact"/>
              <w:jc w:val="both"/>
              <w:rPr>
                <w:rFonts w:hint="default" w:ascii="Times New Roman" w:hAnsi="Times New Roman" w:eastAsia="方正仿宋_GBK" w:cs="宋体"/>
                <w:color w:val="000000"/>
                <w:kern w:val="0"/>
                <w:sz w:val="24"/>
                <w:szCs w:val="24"/>
                <w:lang w:val="en-US" w:eastAsia="zh-CN"/>
              </w:rPr>
            </w:pPr>
            <w:r>
              <w:rPr>
                <w:rFonts w:hint="default" w:ascii="Times New Roman" w:hAnsi="Times New Roman" w:eastAsia="方正仿宋_GBK" w:cs="宋体"/>
                <w:color w:val="000000"/>
                <w:kern w:val="0"/>
                <w:sz w:val="24"/>
                <w:szCs w:val="24"/>
                <w:lang w:val="en-US" w:eastAsia="zh-CN"/>
              </w:rPr>
              <w:t>孤儿、事实无人抚养儿童、艾滋病儿童供养</w:t>
            </w:r>
          </w:p>
        </w:tc>
        <w:tc>
          <w:tcPr>
            <w:tcW w:w="752" w:type="dxa"/>
            <w:tcBorders>
              <w:tl2br w:val="nil"/>
              <w:tr2bl w:val="nil"/>
            </w:tcBorders>
            <w:noWrap w:val="0"/>
            <w:vAlign w:val="center"/>
          </w:tcPr>
          <w:p w14:paraId="5F3B6656">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自评</w:t>
            </w:r>
          </w:p>
          <w:p w14:paraId="08098002">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总分</w:t>
            </w:r>
          </w:p>
          <w:p w14:paraId="4C7158E1">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c>
          <w:tcPr>
            <w:tcW w:w="4689" w:type="dxa"/>
            <w:gridSpan w:val="4"/>
            <w:tcBorders>
              <w:tl2br w:val="nil"/>
              <w:tr2bl w:val="nil"/>
            </w:tcBorders>
            <w:noWrap w:val="0"/>
            <w:vAlign w:val="center"/>
          </w:tcPr>
          <w:p w14:paraId="7138F143">
            <w:pPr>
              <w:widowControl/>
              <w:spacing w:line="300" w:lineRule="exact"/>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r>
      <w:tr w14:paraId="29D8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1D654C53">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lang w:val="en-US" w:eastAsia="zh-CN"/>
              </w:rPr>
              <w:t>项目</w:t>
            </w:r>
            <w:r>
              <w:rPr>
                <w:rFonts w:hint="eastAsia" w:ascii="Times New Roman" w:hAnsi="Times New Roman" w:eastAsia="方正仿宋_GBK" w:cs="宋体"/>
                <w:color w:val="000000"/>
                <w:kern w:val="0"/>
                <w:sz w:val="24"/>
                <w:szCs w:val="24"/>
              </w:rPr>
              <w:t>主管</w:t>
            </w:r>
          </w:p>
          <w:p w14:paraId="3BA7624F">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部门</w:t>
            </w:r>
          </w:p>
        </w:tc>
        <w:tc>
          <w:tcPr>
            <w:tcW w:w="1464" w:type="dxa"/>
            <w:gridSpan w:val="2"/>
            <w:tcBorders>
              <w:tl2br w:val="nil"/>
              <w:tr2bl w:val="nil"/>
            </w:tcBorders>
            <w:noWrap w:val="0"/>
            <w:vAlign w:val="center"/>
          </w:tcPr>
          <w:p w14:paraId="7B786109">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重庆市江津区民政局</w:t>
            </w:r>
          </w:p>
        </w:tc>
        <w:tc>
          <w:tcPr>
            <w:tcW w:w="1240" w:type="dxa"/>
            <w:gridSpan w:val="2"/>
            <w:tcBorders>
              <w:tl2br w:val="nil"/>
              <w:tr2bl w:val="nil"/>
            </w:tcBorders>
            <w:noWrap w:val="0"/>
            <w:vAlign w:val="center"/>
          </w:tcPr>
          <w:p w14:paraId="571C34CC">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财政归口科室</w:t>
            </w:r>
          </w:p>
        </w:tc>
        <w:tc>
          <w:tcPr>
            <w:tcW w:w="1140" w:type="dxa"/>
            <w:gridSpan w:val="3"/>
            <w:tcBorders>
              <w:tl2br w:val="nil"/>
              <w:tr2bl w:val="nil"/>
            </w:tcBorders>
            <w:noWrap w:val="0"/>
            <w:vAlign w:val="center"/>
          </w:tcPr>
          <w:p w14:paraId="26BCE63F">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社会保障科</w:t>
            </w:r>
          </w:p>
        </w:tc>
        <w:tc>
          <w:tcPr>
            <w:tcW w:w="752" w:type="dxa"/>
            <w:tcBorders>
              <w:tl2br w:val="nil"/>
              <w:tr2bl w:val="nil"/>
            </w:tcBorders>
            <w:noWrap w:val="0"/>
            <w:vAlign w:val="center"/>
          </w:tcPr>
          <w:p w14:paraId="7A433B54">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项目</w:t>
            </w:r>
          </w:p>
          <w:p w14:paraId="6242C35E">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联系人</w:t>
            </w:r>
          </w:p>
        </w:tc>
        <w:tc>
          <w:tcPr>
            <w:tcW w:w="1099" w:type="dxa"/>
            <w:tcBorders>
              <w:tl2br w:val="nil"/>
              <w:tr2bl w:val="nil"/>
            </w:tcBorders>
            <w:noWrap w:val="0"/>
            <w:vAlign w:val="center"/>
          </w:tcPr>
          <w:p w14:paraId="4076B85D">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周建军</w:t>
            </w:r>
          </w:p>
        </w:tc>
        <w:tc>
          <w:tcPr>
            <w:tcW w:w="1359" w:type="dxa"/>
            <w:tcBorders>
              <w:tl2br w:val="nil"/>
              <w:tr2bl w:val="nil"/>
            </w:tcBorders>
            <w:noWrap w:val="0"/>
            <w:vAlign w:val="center"/>
          </w:tcPr>
          <w:p w14:paraId="34218225">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联系电话</w:t>
            </w:r>
          </w:p>
        </w:tc>
        <w:tc>
          <w:tcPr>
            <w:tcW w:w="2231" w:type="dxa"/>
            <w:gridSpan w:val="2"/>
            <w:tcBorders>
              <w:tl2br w:val="nil"/>
              <w:tr2bl w:val="nil"/>
            </w:tcBorders>
            <w:noWrap w:val="0"/>
            <w:vAlign w:val="center"/>
          </w:tcPr>
          <w:p w14:paraId="032C9571">
            <w:pPr>
              <w:widowControl/>
              <w:spacing w:line="300" w:lineRule="exact"/>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47555632</w:t>
            </w:r>
          </w:p>
        </w:tc>
      </w:tr>
      <w:tr w14:paraId="028C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43F8EE12">
            <w:pPr>
              <w:widowControl/>
              <w:spacing w:line="300" w:lineRule="exact"/>
              <w:ind w:left="113" w:right="113"/>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项目资金（万元）</w:t>
            </w:r>
          </w:p>
        </w:tc>
        <w:tc>
          <w:tcPr>
            <w:tcW w:w="1464" w:type="dxa"/>
            <w:gridSpan w:val="2"/>
            <w:vMerge w:val="restart"/>
            <w:tcBorders>
              <w:tl2br w:val="nil"/>
              <w:tr2bl w:val="nil"/>
            </w:tcBorders>
            <w:noWrap w:val="0"/>
            <w:vAlign w:val="center"/>
          </w:tcPr>
          <w:p w14:paraId="390BA88E">
            <w:pPr>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年度总金额</w:t>
            </w:r>
          </w:p>
        </w:tc>
        <w:tc>
          <w:tcPr>
            <w:tcW w:w="1240" w:type="dxa"/>
            <w:gridSpan w:val="2"/>
            <w:tcBorders>
              <w:tl2br w:val="nil"/>
              <w:tr2bl w:val="nil"/>
            </w:tcBorders>
            <w:noWrap w:val="0"/>
            <w:vAlign w:val="center"/>
          </w:tcPr>
          <w:p w14:paraId="5897826C">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年初</w:t>
            </w:r>
          </w:p>
          <w:p w14:paraId="53642DE3">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预算数</w:t>
            </w:r>
          </w:p>
        </w:tc>
        <w:tc>
          <w:tcPr>
            <w:tcW w:w="1140" w:type="dxa"/>
            <w:gridSpan w:val="3"/>
            <w:tcBorders>
              <w:tl2br w:val="nil"/>
              <w:tr2bl w:val="nil"/>
            </w:tcBorders>
            <w:noWrap w:val="0"/>
            <w:vAlign w:val="center"/>
          </w:tcPr>
          <w:p w14:paraId="32ED1077">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全年（调整）预算数</w:t>
            </w:r>
          </w:p>
        </w:tc>
        <w:tc>
          <w:tcPr>
            <w:tcW w:w="1851" w:type="dxa"/>
            <w:gridSpan w:val="2"/>
            <w:tcBorders>
              <w:tl2br w:val="nil"/>
              <w:tr2bl w:val="nil"/>
            </w:tcBorders>
            <w:noWrap w:val="0"/>
            <w:vAlign w:val="center"/>
          </w:tcPr>
          <w:p w14:paraId="5A3EAF76">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全年执行数</w:t>
            </w:r>
          </w:p>
        </w:tc>
        <w:tc>
          <w:tcPr>
            <w:tcW w:w="1359" w:type="dxa"/>
            <w:tcBorders>
              <w:tl2br w:val="nil"/>
              <w:tr2bl w:val="nil"/>
            </w:tcBorders>
            <w:noWrap w:val="0"/>
            <w:vAlign w:val="center"/>
          </w:tcPr>
          <w:p w14:paraId="6E861061">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执行率</w:t>
            </w:r>
          </w:p>
          <w:p w14:paraId="5006537F">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w:t>
            </w:r>
          </w:p>
        </w:tc>
        <w:tc>
          <w:tcPr>
            <w:tcW w:w="993" w:type="dxa"/>
            <w:tcBorders>
              <w:tl2br w:val="nil"/>
              <w:tr2bl w:val="nil"/>
            </w:tcBorders>
            <w:noWrap w:val="0"/>
            <w:vAlign w:val="center"/>
          </w:tcPr>
          <w:p w14:paraId="0AF3F807">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执行率</w:t>
            </w:r>
          </w:p>
          <w:p w14:paraId="3E0CBAA1">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权重</w:t>
            </w:r>
          </w:p>
        </w:tc>
        <w:tc>
          <w:tcPr>
            <w:tcW w:w="1238" w:type="dxa"/>
            <w:tcBorders>
              <w:tl2br w:val="nil"/>
              <w:tr2bl w:val="nil"/>
            </w:tcBorders>
            <w:noWrap w:val="0"/>
            <w:vAlign w:val="center"/>
          </w:tcPr>
          <w:p w14:paraId="1E96C107">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执行率</w:t>
            </w:r>
          </w:p>
          <w:p w14:paraId="3B2E150A">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得分</w:t>
            </w:r>
          </w:p>
          <w:p w14:paraId="60B68C96">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r>
      <w:tr w14:paraId="1F11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4C8B3FC6">
            <w:pPr>
              <w:widowControl/>
              <w:spacing w:line="300" w:lineRule="exact"/>
              <w:rPr>
                <w:rFonts w:ascii="Times New Roman" w:hAnsi="Times New Roman" w:eastAsia="方正仿宋_GBK" w:cs="宋体"/>
                <w:color w:val="000000"/>
                <w:kern w:val="0"/>
                <w:sz w:val="24"/>
                <w:szCs w:val="24"/>
              </w:rPr>
            </w:pPr>
          </w:p>
        </w:tc>
        <w:tc>
          <w:tcPr>
            <w:tcW w:w="1464" w:type="dxa"/>
            <w:gridSpan w:val="2"/>
            <w:vMerge w:val="continue"/>
            <w:tcBorders>
              <w:tl2br w:val="nil"/>
              <w:tr2bl w:val="nil"/>
            </w:tcBorders>
            <w:noWrap w:val="0"/>
            <w:vAlign w:val="center"/>
          </w:tcPr>
          <w:p w14:paraId="51710BA0">
            <w:pPr>
              <w:spacing w:line="300" w:lineRule="exact"/>
              <w:jc w:val="center"/>
              <w:rPr>
                <w:rFonts w:hint="eastAsia" w:ascii="Times New Roman" w:hAnsi="Times New Roman" w:eastAsia="方正仿宋_GBK" w:cs="宋体"/>
                <w:color w:val="000000"/>
                <w:kern w:val="0"/>
                <w:sz w:val="24"/>
                <w:szCs w:val="24"/>
              </w:rPr>
            </w:pPr>
          </w:p>
        </w:tc>
        <w:tc>
          <w:tcPr>
            <w:tcW w:w="1240" w:type="dxa"/>
            <w:gridSpan w:val="2"/>
            <w:tcBorders>
              <w:tl2br w:val="nil"/>
              <w:tr2bl w:val="nil"/>
            </w:tcBorders>
            <w:noWrap w:val="0"/>
            <w:vAlign w:val="center"/>
          </w:tcPr>
          <w:p w14:paraId="50D23A69">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904.53</w:t>
            </w:r>
          </w:p>
        </w:tc>
        <w:tc>
          <w:tcPr>
            <w:tcW w:w="1140" w:type="dxa"/>
            <w:gridSpan w:val="3"/>
            <w:tcBorders>
              <w:tl2br w:val="nil"/>
              <w:tr2bl w:val="nil"/>
            </w:tcBorders>
            <w:noWrap w:val="0"/>
            <w:vAlign w:val="center"/>
          </w:tcPr>
          <w:p w14:paraId="3BD65141">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779.59</w:t>
            </w:r>
          </w:p>
        </w:tc>
        <w:tc>
          <w:tcPr>
            <w:tcW w:w="1851" w:type="dxa"/>
            <w:gridSpan w:val="2"/>
            <w:tcBorders>
              <w:tl2br w:val="nil"/>
              <w:tr2bl w:val="nil"/>
            </w:tcBorders>
            <w:noWrap w:val="0"/>
            <w:vAlign w:val="center"/>
          </w:tcPr>
          <w:p w14:paraId="63D411AC">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779.59</w:t>
            </w:r>
          </w:p>
        </w:tc>
        <w:tc>
          <w:tcPr>
            <w:tcW w:w="1359" w:type="dxa"/>
            <w:tcBorders>
              <w:tl2br w:val="nil"/>
              <w:tr2bl w:val="nil"/>
            </w:tcBorders>
            <w:noWrap w:val="0"/>
            <w:vAlign w:val="center"/>
          </w:tcPr>
          <w:p w14:paraId="2580BAC1">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993" w:type="dxa"/>
            <w:tcBorders>
              <w:tl2br w:val="nil"/>
              <w:tr2bl w:val="nil"/>
            </w:tcBorders>
            <w:noWrap w:val="0"/>
            <w:vAlign w:val="center"/>
          </w:tcPr>
          <w:p w14:paraId="5682187E">
            <w:pPr>
              <w:widowControl/>
              <w:spacing w:line="300" w:lineRule="exact"/>
              <w:jc w:val="both"/>
              <w:rPr>
                <w:rFonts w:hint="default" w:ascii="Times New Roman" w:hAnsi="Times New Roman" w:eastAsia="方正仿宋_GBK" w:cs="宋体"/>
                <w:kern w:val="0"/>
                <w:sz w:val="24"/>
                <w:szCs w:val="24"/>
                <w:lang w:val="en-US" w:eastAsia="zh-CN"/>
              </w:rPr>
            </w:pPr>
            <w:r>
              <w:rPr>
                <w:rFonts w:hint="eastAsia" w:ascii="Times New Roman" w:hAnsi="Times New Roman" w:eastAsia="方正仿宋_GBK" w:cs="宋体"/>
                <w:kern w:val="0"/>
                <w:sz w:val="24"/>
                <w:szCs w:val="24"/>
                <w:lang w:val="en-US" w:eastAsia="zh-CN"/>
              </w:rPr>
              <w:t>10</w:t>
            </w:r>
          </w:p>
        </w:tc>
        <w:tc>
          <w:tcPr>
            <w:tcW w:w="1238" w:type="dxa"/>
            <w:tcBorders>
              <w:tl2br w:val="nil"/>
              <w:tr2bl w:val="nil"/>
            </w:tcBorders>
            <w:noWrap w:val="0"/>
            <w:vAlign w:val="center"/>
          </w:tcPr>
          <w:p w14:paraId="51B8A2E6">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r>
      <w:tr w14:paraId="0BAF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5D2C0404">
            <w:pPr>
              <w:widowControl/>
              <w:spacing w:line="300" w:lineRule="exact"/>
              <w:rPr>
                <w:rFonts w:ascii="Times New Roman" w:hAnsi="Times New Roman" w:eastAsia="方正仿宋_GBK" w:cs="宋体"/>
                <w:color w:val="000000"/>
                <w:kern w:val="0"/>
                <w:sz w:val="24"/>
                <w:szCs w:val="24"/>
              </w:rPr>
            </w:pPr>
          </w:p>
        </w:tc>
        <w:tc>
          <w:tcPr>
            <w:tcW w:w="1464" w:type="dxa"/>
            <w:gridSpan w:val="2"/>
            <w:tcBorders>
              <w:tl2br w:val="nil"/>
              <w:tr2bl w:val="nil"/>
            </w:tcBorders>
            <w:noWrap w:val="0"/>
            <w:vAlign w:val="center"/>
          </w:tcPr>
          <w:p w14:paraId="2EB02BBC">
            <w:pPr>
              <w:widowControl/>
              <w:spacing w:line="300" w:lineRule="exact"/>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其中：</w:t>
            </w:r>
          </w:p>
          <w:p w14:paraId="549D83DE">
            <w:pPr>
              <w:widowControl/>
              <w:spacing w:line="300" w:lineRule="exact"/>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财政拨款</w:t>
            </w:r>
          </w:p>
        </w:tc>
        <w:tc>
          <w:tcPr>
            <w:tcW w:w="1240" w:type="dxa"/>
            <w:gridSpan w:val="2"/>
            <w:tcBorders>
              <w:tl2br w:val="nil"/>
              <w:tr2bl w:val="nil"/>
            </w:tcBorders>
            <w:noWrap w:val="0"/>
            <w:vAlign w:val="center"/>
          </w:tcPr>
          <w:p w14:paraId="0A5C3D12">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904.53</w:t>
            </w:r>
          </w:p>
        </w:tc>
        <w:tc>
          <w:tcPr>
            <w:tcW w:w="1140" w:type="dxa"/>
            <w:gridSpan w:val="3"/>
            <w:tcBorders>
              <w:tl2br w:val="nil"/>
              <w:tr2bl w:val="nil"/>
            </w:tcBorders>
            <w:noWrap w:val="0"/>
            <w:vAlign w:val="center"/>
          </w:tcPr>
          <w:p w14:paraId="35583D69">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779.59</w:t>
            </w:r>
          </w:p>
        </w:tc>
        <w:tc>
          <w:tcPr>
            <w:tcW w:w="1851" w:type="dxa"/>
            <w:gridSpan w:val="2"/>
            <w:tcBorders>
              <w:tl2br w:val="nil"/>
              <w:tr2bl w:val="nil"/>
            </w:tcBorders>
            <w:noWrap w:val="0"/>
            <w:vAlign w:val="center"/>
          </w:tcPr>
          <w:p w14:paraId="6C5415CC">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779.59</w:t>
            </w:r>
          </w:p>
        </w:tc>
        <w:tc>
          <w:tcPr>
            <w:tcW w:w="1359" w:type="dxa"/>
            <w:tcBorders>
              <w:tl2br w:val="nil"/>
              <w:tr2bl w:val="nil"/>
            </w:tcBorders>
            <w:noWrap w:val="0"/>
            <w:vAlign w:val="center"/>
          </w:tcPr>
          <w:p w14:paraId="2C5B75FD">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993" w:type="dxa"/>
            <w:tcBorders>
              <w:tl2br w:val="nil"/>
              <w:tr2bl w:val="nil"/>
            </w:tcBorders>
            <w:noWrap w:val="0"/>
            <w:vAlign w:val="center"/>
          </w:tcPr>
          <w:p w14:paraId="69C3F0BD">
            <w:pPr>
              <w:widowControl/>
              <w:spacing w:line="300" w:lineRule="exact"/>
              <w:jc w:val="both"/>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c>
          <w:tcPr>
            <w:tcW w:w="1238" w:type="dxa"/>
            <w:tcBorders>
              <w:tl2br w:val="nil"/>
              <w:tr2bl w:val="nil"/>
            </w:tcBorders>
            <w:noWrap w:val="0"/>
            <w:vAlign w:val="center"/>
          </w:tcPr>
          <w:p w14:paraId="2C83DC82">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r>
      <w:tr w14:paraId="3F76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6F3F4AB2">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当年绩效目标</w:t>
            </w:r>
          </w:p>
        </w:tc>
        <w:tc>
          <w:tcPr>
            <w:tcW w:w="5695" w:type="dxa"/>
            <w:gridSpan w:val="9"/>
            <w:tcBorders>
              <w:tl2br w:val="nil"/>
              <w:tr2bl w:val="nil"/>
            </w:tcBorders>
            <w:noWrap w:val="0"/>
            <w:vAlign w:val="center"/>
          </w:tcPr>
          <w:p w14:paraId="3875EE98">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年初绩效目标</w:t>
            </w:r>
          </w:p>
        </w:tc>
        <w:tc>
          <w:tcPr>
            <w:tcW w:w="3590" w:type="dxa"/>
            <w:gridSpan w:val="3"/>
            <w:tcBorders>
              <w:tl2br w:val="nil"/>
              <w:tr2bl w:val="nil"/>
            </w:tcBorders>
            <w:noWrap w:val="0"/>
            <w:vAlign w:val="center"/>
          </w:tcPr>
          <w:p w14:paraId="576AE226">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全年目标实际完成情况</w:t>
            </w:r>
          </w:p>
        </w:tc>
      </w:tr>
      <w:tr w14:paraId="7EB9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14:paraId="2849C797">
            <w:pPr>
              <w:widowControl/>
              <w:spacing w:line="300" w:lineRule="exact"/>
              <w:rPr>
                <w:rFonts w:ascii="Times New Roman" w:hAnsi="Times New Roman" w:eastAsia="方正仿宋_GBK" w:cs="宋体"/>
                <w:color w:val="000000"/>
                <w:kern w:val="0"/>
                <w:sz w:val="24"/>
                <w:szCs w:val="24"/>
              </w:rPr>
            </w:pPr>
          </w:p>
        </w:tc>
        <w:tc>
          <w:tcPr>
            <w:tcW w:w="5695" w:type="dxa"/>
            <w:gridSpan w:val="9"/>
            <w:tcBorders>
              <w:tl2br w:val="nil"/>
              <w:tr2bl w:val="nil"/>
            </w:tcBorders>
            <w:noWrap w:val="0"/>
            <w:vAlign w:val="center"/>
          </w:tcPr>
          <w:p w14:paraId="28FB7C5B">
            <w:pPr>
              <w:widowControl/>
              <w:spacing w:line="300" w:lineRule="exact"/>
              <w:rPr>
                <w:rFonts w:hint="default" w:ascii="Times New Roman" w:hAnsi="Times New Roman" w:eastAsia="方正仿宋_GBK" w:cs="宋体"/>
                <w:color w:val="000000"/>
                <w:kern w:val="0"/>
                <w:sz w:val="24"/>
                <w:szCs w:val="24"/>
                <w:lang w:val="en-US" w:eastAsia="zh-CN"/>
              </w:rPr>
            </w:pPr>
            <w:r>
              <w:rPr>
                <w:rFonts w:hint="default" w:ascii="Times New Roman" w:hAnsi="Times New Roman" w:eastAsia="方正仿宋_GBK" w:cs="宋体"/>
                <w:color w:val="000000"/>
                <w:kern w:val="0"/>
                <w:sz w:val="24"/>
                <w:szCs w:val="24"/>
                <w:lang w:val="en-US" w:eastAsia="zh-CN"/>
              </w:rPr>
              <w:t>落实孤儿、艾滋病儿童和事实无人抚养儿童的生活补贴，帮助他们解决生活、就医、上学等困难，提高其幸福感，维护社会和谐。</w:t>
            </w:r>
          </w:p>
        </w:tc>
        <w:tc>
          <w:tcPr>
            <w:tcW w:w="3590" w:type="dxa"/>
            <w:gridSpan w:val="3"/>
            <w:tcBorders>
              <w:tl2br w:val="nil"/>
              <w:tr2bl w:val="nil"/>
            </w:tcBorders>
            <w:noWrap w:val="0"/>
            <w:vAlign w:val="center"/>
          </w:tcPr>
          <w:p w14:paraId="01A8CD0B">
            <w:pPr>
              <w:widowControl/>
              <w:spacing w:line="300" w:lineRule="exact"/>
              <w:rPr>
                <w:rFonts w:hint="default" w:ascii="Times New Roman" w:hAnsi="Times New Roman" w:eastAsia="方正仿宋_GBK" w:cs="宋体"/>
                <w:color w:val="000000"/>
                <w:kern w:val="0"/>
                <w:sz w:val="24"/>
                <w:szCs w:val="24"/>
                <w:lang w:val="en-US" w:eastAsia="zh-CN"/>
              </w:rPr>
            </w:pPr>
            <w:r>
              <w:rPr>
                <w:rFonts w:hint="default" w:ascii="Times New Roman" w:hAnsi="Times New Roman" w:eastAsia="方正仿宋_GBK" w:cs="宋体"/>
                <w:color w:val="000000"/>
                <w:kern w:val="0"/>
                <w:sz w:val="24"/>
                <w:szCs w:val="24"/>
                <w:lang w:val="en-US" w:eastAsia="zh-CN"/>
              </w:rPr>
              <w:t>落实1</w:t>
            </w:r>
            <w:r>
              <w:rPr>
                <w:rFonts w:hint="eastAsia" w:ascii="Times New Roman" w:hAnsi="Times New Roman" w:eastAsia="方正仿宋_GBK" w:cs="宋体"/>
                <w:color w:val="000000"/>
                <w:kern w:val="0"/>
                <w:sz w:val="24"/>
                <w:szCs w:val="24"/>
                <w:lang w:val="en-US" w:eastAsia="zh-CN"/>
              </w:rPr>
              <w:t>07</w:t>
            </w:r>
            <w:r>
              <w:rPr>
                <w:rFonts w:hint="default" w:ascii="Times New Roman" w:hAnsi="Times New Roman" w:eastAsia="方正仿宋_GBK" w:cs="宋体"/>
                <w:color w:val="000000"/>
                <w:kern w:val="0"/>
                <w:sz w:val="24"/>
                <w:szCs w:val="24"/>
                <w:lang w:val="en-US" w:eastAsia="zh-CN"/>
              </w:rPr>
              <w:t>名散居孤儿、11名艾滋病儿童和4</w:t>
            </w:r>
            <w:r>
              <w:rPr>
                <w:rFonts w:hint="eastAsia" w:ascii="Times New Roman" w:hAnsi="Times New Roman" w:eastAsia="方正仿宋_GBK" w:cs="宋体"/>
                <w:color w:val="000000"/>
                <w:kern w:val="0"/>
                <w:sz w:val="24"/>
                <w:szCs w:val="24"/>
                <w:lang w:val="en-US" w:eastAsia="zh-CN"/>
              </w:rPr>
              <w:t>51</w:t>
            </w:r>
            <w:r>
              <w:rPr>
                <w:rFonts w:hint="default" w:ascii="Times New Roman" w:hAnsi="Times New Roman" w:eastAsia="方正仿宋_GBK" w:cs="宋体"/>
                <w:color w:val="000000"/>
                <w:kern w:val="0"/>
                <w:sz w:val="24"/>
                <w:szCs w:val="24"/>
                <w:lang w:val="en-US" w:eastAsia="zh-CN"/>
              </w:rPr>
              <w:t>名事实无人抚养儿童的生活补贴，帮助他们解决生活、就医、上学等困难，提高其幸福感，维护社会和谐。</w:t>
            </w:r>
          </w:p>
        </w:tc>
      </w:tr>
      <w:tr w14:paraId="259A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4CAD8B62">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绩效指标</w:t>
            </w:r>
          </w:p>
        </w:tc>
        <w:tc>
          <w:tcPr>
            <w:tcW w:w="964" w:type="dxa"/>
            <w:tcBorders>
              <w:tl2br w:val="nil"/>
              <w:tr2bl w:val="nil"/>
            </w:tcBorders>
            <w:noWrap w:val="0"/>
            <w:vAlign w:val="center"/>
          </w:tcPr>
          <w:p w14:paraId="1786696B">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14:paraId="2AB4FE47">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名称</w:t>
            </w:r>
          </w:p>
        </w:tc>
        <w:tc>
          <w:tcPr>
            <w:tcW w:w="500" w:type="dxa"/>
            <w:tcBorders>
              <w:tl2br w:val="nil"/>
              <w:tr2bl w:val="nil"/>
            </w:tcBorders>
            <w:noWrap w:val="0"/>
            <w:vAlign w:val="center"/>
          </w:tcPr>
          <w:p w14:paraId="0150D804">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计量</w:t>
            </w:r>
          </w:p>
          <w:p w14:paraId="7B534F97">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单位</w:t>
            </w:r>
          </w:p>
        </w:tc>
        <w:tc>
          <w:tcPr>
            <w:tcW w:w="709" w:type="dxa"/>
            <w:tcBorders>
              <w:tl2br w:val="nil"/>
              <w:tr2bl w:val="nil"/>
            </w:tcBorders>
            <w:noWrap w:val="0"/>
            <w:vAlign w:val="center"/>
          </w:tcPr>
          <w:p w14:paraId="7186994C">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14:paraId="7A062ABB">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性质</w:t>
            </w:r>
          </w:p>
        </w:tc>
        <w:tc>
          <w:tcPr>
            <w:tcW w:w="708" w:type="dxa"/>
            <w:gridSpan w:val="2"/>
            <w:tcBorders>
              <w:tl2br w:val="nil"/>
              <w:tr2bl w:val="nil"/>
            </w:tcBorders>
            <w:noWrap w:val="0"/>
            <w:vAlign w:val="center"/>
          </w:tcPr>
          <w:p w14:paraId="58654FEC">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14:paraId="5AA013BB">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值</w:t>
            </w:r>
          </w:p>
        </w:tc>
        <w:tc>
          <w:tcPr>
            <w:tcW w:w="857" w:type="dxa"/>
            <w:tcBorders>
              <w:tl2br w:val="nil"/>
              <w:tr2bl w:val="nil"/>
            </w:tcBorders>
            <w:noWrap w:val="0"/>
            <w:vAlign w:val="center"/>
          </w:tcPr>
          <w:p w14:paraId="4AB57F45">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全年</w:t>
            </w:r>
          </w:p>
          <w:p w14:paraId="32B230C4">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完成值</w:t>
            </w:r>
          </w:p>
        </w:tc>
        <w:tc>
          <w:tcPr>
            <w:tcW w:w="858" w:type="dxa"/>
            <w:gridSpan w:val="2"/>
            <w:tcBorders>
              <w:tl2br w:val="nil"/>
              <w:tr2bl w:val="nil"/>
            </w:tcBorders>
            <w:noWrap w:val="0"/>
            <w:vAlign w:val="center"/>
          </w:tcPr>
          <w:p w14:paraId="702353F5">
            <w:pPr>
              <w:widowControl/>
              <w:spacing w:line="300" w:lineRule="exact"/>
              <w:jc w:val="center"/>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偏离度（%）</w:t>
            </w:r>
          </w:p>
        </w:tc>
        <w:tc>
          <w:tcPr>
            <w:tcW w:w="1099" w:type="dxa"/>
            <w:tcBorders>
              <w:tl2br w:val="nil"/>
              <w:tr2bl w:val="nil"/>
            </w:tcBorders>
            <w:noWrap w:val="0"/>
            <w:vAlign w:val="center"/>
          </w:tcPr>
          <w:p w14:paraId="6B3BA4C7">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得分</w:t>
            </w:r>
          </w:p>
          <w:p w14:paraId="6B7E3848">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系数</w:t>
            </w:r>
          </w:p>
          <w:p w14:paraId="145C1A4A">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w:t>
            </w:r>
          </w:p>
        </w:tc>
        <w:tc>
          <w:tcPr>
            <w:tcW w:w="1359" w:type="dxa"/>
            <w:tcBorders>
              <w:tl2br w:val="nil"/>
              <w:tr2bl w:val="nil"/>
            </w:tcBorders>
            <w:noWrap w:val="0"/>
            <w:vAlign w:val="center"/>
          </w:tcPr>
          <w:p w14:paraId="686EF9A3">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14:paraId="534DEB14">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权重</w:t>
            </w:r>
          </w:p>
          <w:p w14:paraId="37C88A3B">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c>
          <w:tcPr>
            <w:tcW w:w="2231" w:type="dxa"/>
            <w:gridSpan w:val="2"/>
            <w:tcBorders>
              <w:tl2br w:val="nil"/>
              <w:tr2bl w:val="nil"/>
            </w:tcBorders>
            <w:noWrap w:val="0"/>
            <w:vAlign w:val="center"/>
          </w:tcPr>
          <w:p w14:paraId="06F33418">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指标得分</w:t>
            </w:r>
          </w:p>
          <w:p w14:paraId="017FB671">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r>
      <w:tr w14:paraId="4FB7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textDirection w:val="tbRlV"/>
            <w:vAlign w:val="center"/>
          </w:tcPr>
          <w:p w14:paraId="05A8F1E9">
            <w:pPr>
              <w:widowControl/>
              <w:spacing w:line="300" w:lineRule="exact"/>
              <w:jc w:val="center"/>
              <w:rPr>
                <w:rFonts w:hint="eastAsia" w:ascii="Times New Roman" w:hAnsi="Times New Roman" w:eastAsia="方正仿宋_GBK" w:cs="宋体"/>
                <w:color w:val="000000"/>
                <w:kern w:val="0"/>
                <w:sz w:val="24"/>
                <w:szCs w:val="24"/>
              </w:rPr>
            </w:pPr>
          </w:p>
        </w:tc>
        <w:tc>
          <w:tcPr>
            <w:tcW w:w="964" w:type="dxa"/>
            <w:tcBorders>
              <w:tl2br w:val="nil"/>
              <w:tr2bl w:val="nil"/>
            </w:tcBorders>
            <w:noWrap w:val="0"/>
            <w:vAlign w:val="center"/>
          </w:tcPr>
          <w:p w14:paraId="152B9578">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补助人数</w:t>
            </w:r>
          </w:p>
        </w:tc>
        <w:tc>
          <w:tcPr>
            <w:tcW w:w="500" w:type="dxa"/>
            <w:tcBorders>
              <w:tl2br w:val="nil"/>
              <w:tr2bl w:val="nil"/>
            </w:tcBorders>
            <w:noWrap w:val="0"/>
            <w:vAlign w:val="center"/>
          </w:tcPr>
          <w:p w14:paraId="33BA9092">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人</w:t>
            </w:r>
          </w:p>
        </w:tc>
        <w:tc>
          <w:tcPr>
            <w:tcW w:w="709" w:type="dxa"/>
            <w:tcBorders>
              <w:tl2br w:val="nil"/>
              <w:tr2bl w:val="nil"/>
            </w:tcBorders>
            <w:noWrap w:val="0"/>
            <w:vAlign w:val="center"/>
          </w:tcPr>
          <w:p w14:paraId="673AC4F1">
            <w:pPr>
              <w:widowControl/>
              <w:spacing w:line="300" w:lineRule="exact"/>
              <w:jc w:val="center"/>
              <w:rPr>
                <w:rFonts w:hint="eastAsia" w:ascii="Times New Roman" w:hAnsi="Times New Roman" w:eastAsia="方正仿宋_GBK"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w:t>
            </w:r>
          </w:p>
        </w:tc>
        <w:tc>
          <w:tcPr>
            <w:tcW w:w="708" w:type="dxa"/>
            <w:gridSpan w:val="2"/>
            <w:tcBorders>
              <w:tl2br w:val="nil"/>
              <w:tr2bl w:val="nil"/>
            </w:tcBorders>
            <w:noWrap w:val="0"/>
            <w:vAlign w:val="center"/>
          </w:tcPr>
          <w:p w14:paraId="2BFEEBE6">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500</w:t>
            </w:r>
          </w:p>
        </w:tc>
        <w:tc>
          <w:tcPr>
            <w:tcW w:w="857" w:type="dxa"/>
            <w:tcBorders>
              <w:tl2br w:val="nil"/>
              <w:tr2bl w:val="nil"/>
            </w:tcBorders>
            <w:noWrap w:val="0"/>
            <w:vAlign w:val="center"/>
          </w:tcPr>
          <w:p w14:paraId="50D6E5D9">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569</w:t>
            </w:r>
          </w:p>
        </w:tc>
        <w:tc>
          <w:tcPr>
            <w:tcW w:w="858" w:type="dxa"/>
            <w:gridSpan w:val="2"/>
            <w:tcBorders>
              <w:tl2br w:val="nil"/>
              <w:tr2bl w:val="nil"/>
            </w:tcBorders>
            <w:noWrap w:val="0"/>
            <w:vAlign w:val="center"/>
          </w:tcPr>
          <w:p w14:paraId="6594AAF2">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13.8</w:t>
            </w:r>
          </w:p>
        </w:tc>
        <w:tc>
          <w:tcPr>
            <w:tcW w:w="1099" w:type="dxa"/>
            <w:tcBorders>
              <w:tl2br w:val="nil"/>
              <w:tr2bl w:val="nil"/>
            </w:tcBorders>
            <w:noWrap w:val="0"/>
            <w:vAlign w:val="center"/>
          </w:tcPr>
          <w:p w14:paraId="3B69BF27">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1359" w:type="dxa"/>
            <w:tcBorders>
              <w:tl2br w:val="nil"/>
              <w:tr2bl w:val="nil"/>
            </w:tcBorders>
            <w:noWrap w:val="0"/>
            <w:vAlign w:val="center"/>
          </w:tcPr>
          <w:p w14:paraId="60B0AF2B">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c>
          <w:tcPr>
            <w:tcW w:w="2231" w:type="dxa"/>
            <w:gridSpan w:val="2"/>
            <w:tcBorders>
              <w:tl2br w:val="nil"/>
              <w:tr2bl w:val="nil"/>
            </w:tcBorders>
            <w:noWrap w:val="0"/>
            <w:vAlign w:val="center"/>
          </w:tcPr>
          <w:p w14:paraId="0637BFFD">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r>
      <w:tr w14:paraId="13F4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textDirection w:val="tbRlV"/>
            <w:vAlign w:val="center"/>
          </w:tcPr>
          <w:p w14:paraId="47291718">
            <w:pPr>
              <w:widowControl/>
              <w:spacing w:line="300" w:lineRule="exact"/>
              <w:jc w:val="center"/>
              <w:rPr>
                <w:rFonts w:hint="eastAsia" w:ascii="Times New Roman" w:hAnsi="Times New Roman" w:eastAsia="方正仿宋_GBK" w:cs="宋体"/>
                <w:color w:val="000000"/>
                <w:kern w:val="0"/>
                <w:sz w:val="24"/>
                <w:szCs w:val="24"/>
              </w:rPr>
            </w:pPr>
          </w:p>
        </w:tc>
        <w:tc>
          <w:tcPr>
            <w:tcW w:w="964" w:type="dxa"/>
            <w:tcBorders>
              <w:tl2br w:val="nil"/>
              <w:tr2bl w:val="nil"/>
            </w:tcBorders>
            <w:noWrap w:val="0"/>
            <w:vAlign w:val="center"/>
          </w:tcPr>
          <w:p w14:paraId="18C1461E">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补助合格率</w:t>
            </w:r>
          </w:p>
        </w:tc>
        <w:tc>
          <w:tcPr>
            <w:tcW w:w="500" w:type="dxa"/>
            <w:tcBorders>
              <w:tl2br w:val="nil"/>
              <w:tr2bl w:val="nil"/>
            </w:tcBorders>
            <w:noWrap w:val="0"/>
            <w:vAlign w:val="center"/>
          </w:tcPr>
          <w:p w14:paraId="228F1939">
            <w:pPr>
              <w:widowControl/>
              <w:spacing w:line="300" w:lineRule="exact"/>
              <w:jc w:val="center"/>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w:t>
            </w:r>
          </w:p>
        </w:tc>
        <w:tc>
          <w:tcPr>
            <w:tcW w:w="709" w:type="dxa"/>
            <w:tcBorders>
              <w:tl2br w:val="nil"/>
              <w:tr2bl w:val="nil"/>
            </w:tcBorders>
            <w:noWrap w:val="0"/>
            <w:vAlign w:val="center"/>
          </w:tcPr>
          <w:p w14:paraId="5D40EA95">
            <w:pPr>
              <w:widowControl/>
              <w:spacing w:line="300" w:lineRule="exact"/>
              <w:jc w:val="center"/>
              <w:rPr>
                <w:rFonts w:hint="eastAsia" w:ascii="Times New Roman" w:hAnsi="Times New Roman" w:eastAsia="方正仿宋_GBK"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w:t>
            </w:r>
          </w:p>
        </w:tc>
        <w:tc>
          <w:tcPr>
            <w:tcW w:w="708" w:type="dxa"/>
            <w:gridSpan w:val="2"/>
            <w:tcBorders>
              <w:tl2br w:val="nil"/>
              <w:tr2bl w:val="nil"/>
            </w:tcBorders>
            <w:noWrap w:val="0"/>
            <w:vAlign w:val="center"/>
          </w:tcPr>
          <w:p w14:paraId="4366E497">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98</w:t>
            </w:r>
          </w:p>
        </w:tc>
        <w:tc>
          <w:tcPr>
            <w:tcW w:w="857" w:type="dxa"/>
            <w:tcBorders>
              <w:tl2br w:val="nil"/>
              <w:tr2bl w:val="nil"/>
            </w:tcBorders>
            <w:noWrap w:val="0"/>
            <w:vAlign w:val="center"/>
          </w:tcPr>
          <w:p w14:paraId="17ED4AB6">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98</w:t>
            </w:r>
          </w:p>
        </w:tc>
        <w:tc>
          <w:tcPr>
            <w:tcW w:w="858" w:type="dxa"/>
            <w:gridSpan w:val="2"/>
            <w:tcBorders>
              <w:tl2br w:val="nil"/>
              <w:tr2bl w:val="nil"/>
            </w:tcBorders>
            <w:noWrap w:val="0"/>
            <w:vAlign w:val="center"/>
          </w:tcPr>
          <w:p w14:paraId="470B4027">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0</w:t>
            </w:r>
          </w:p>
        </w:tc>
        <w:tc>
          <w:tcPr>
            <w:tcW w:w="1099" w:type="dxa"/>
            <w:tcBorders>
              <w:tl2br w:val="nil"/>
              <w:tr2bl w:val="nil"/>
            </w:tcBorders>
            <w:noWrap w:val="0"/>
            <w:vAlign w:val="center"/>
          </w:tcPr>
          <w:p w14:paraId="44929308">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1359" w:type="dxa"/>
            <w:tcBorders>
              <w:tl2br w:val="nil"/>
              <w:tr2bl w:val="nil"/>
            </w:tcBorders>
            <w:noWrap w:val="0"/>
            <w:vAlign w:val="center"/>
          </w:tcPr>
          <w:p w14:paraId="331B4200">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c>
          <w:tcPr>
            <w:tcW w:w="2231" w:type="dxa"/>
            <w:gridSpan w:val="2"/>
            <w:tcBorders>
              <w:tl2br w:val="nil"/>
              <w:tr2bl w:val="nil"/>
            </w:tcBorders>
            <w:noWrap w:val="0"/>
            <w:vAlign w:val="center"/>
          </w:tcPr>
          <w:p w14:paraId="65FAB76C">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r>
      <w:tr w14:paraId="0287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textDirection w:val="tbRlV"/>
            <w:vAlign w:val="center"/>
          </w:tcPr>
          <w:p w14:paraId="3E1021CB">
            <w:pPr>
              <w:widowControl/>
              <w:spacing w:line="300" w:lineRule="exact"/>
              <w:jc w:val="center"/>
              <w:rPr>
                <w:rFonts w:hint="eastAsia" w:ascii="Times New Roman" w:hAnsi="Times New Roman" w:eastAsia="方正仿宋_GBK" w:cs="宋体"/>
                <w:color w:val="000000"/>
                <w:kern w:val="0"/>
                <w:sz w:val="24"/>
                <w:szCs w:val="24"/>
              </w:rPr>
            </w:pPr>
          </w:p>
        </w:tc>
        <w:tc>
          <w:tcPr>
            <w:tcW w:w="964" w:type="dxa"/>
            <w:tcBorders>
              <w:tl2br w:val="nil"/>
              <w:tr2bl w:val="nil"/>
            </w:tcBorders>
            <w:noWrap w:val="0"/>
            <w:vAlign w:val="center"/>
          </w:tcPr>
          <w:p w14:paraId="0079B98D">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补助政策知晓率</w:t>
            </w:r>
          </w:p>
        </w:tc>
        <w:tc>
          <w:tcPr>
            <w:tcW w:w="500" w:type="dxa"/>
            <w:tcBorders>
              <w:tl2br w:val="nil"/>
              <w:tr2bl w:val="nil"/>
            </w:tcBorders>
            <w:noWrap w:val="0"/>
            <w:vAlign w:val="center"/>
          </w:tcPr>
          <w:p w14:paraId="3D8A1CBE">
            <w:pPr>
              <w:widowControl/>
              <w:spacing w:line="300" w:lineRule="exact"/>
              <w:jc w:val="center"/>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w:t>
            </w:r>
          </w:p>
        </w:tc>
        <w:tc>
          <w:tcPr>
            <w:tcW w:w="709" w:type="dxa"/>
            <w:tcBorders>
              <w:tl2br w:val="nil"/>
              <w:tr2bl w:val="nil"/>
            </w:tcBorders>
            <w:noWrap w:val="0"/>
            <w:vAlign w:val="center"/>
          </w:tcPr>
          <w:p w14:paraId="19FB0665">
            <w:pPr>
              <w:widowControl/>
              <w:spacing w:line="300" w:lineRule="exact"/>
              <w:jc w:val="center"/>
              <w:rPr>
                <w:rFonts w:hint="eastAsia" w:ascii="Times New Roman" w:hAnsi="Times New Roman" w:eastAsia="方正仿宋_GBK"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w:t>
            </w:r>
          </w:p>
        </w:tc>
        <w:tc>
          <w:tcPr>
            <w:tcW w:w="708" w:type="dxa"/>
            <w:gridSpan w:val="2"/>
            <w:tcBorders>
              <w:tl2br w:val="nil"/>
              <w:tr2bl w:val="nil"/>
            </w:tcBorders>
            <w:noWrap w:val="0"/>
            <w:vAlign w:val="center"/>
          </w:tcPr>
          <w:p w14:paraId="394157A7">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95</w:t>
            </w:r>
          </w:p>
        </w:tc>
        <w:tc>
          <w:tcPr>
            <w:tcW w:w="857" w:type="dxa"/>
            <w:tcBorders>
              <w:tl2br w:val="nil"/>
              <w:tr2bl w:val="nil"/>
            </w:tcBorders>
            <w:noWrap w:val="0"/>
            <w:vAlign w:val="center"/>
          </w:tcPr>
          <w:p w14:paraId="1455FBC2">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95</w:t>
            </w:r>
          </w:p>
        </w:tc>
        <w:tc>
          <w:tcPr>
            <w:tcW w:w="858" w:type="dxa"/>
            <w:gridSpan w:val="2"/>
            <w:tcBorders>
              <w:tl2br w:val="nil"/>
              <w:tr2bl w:val="nil"/>
            </w:tcBorders>
            <w:noWrap w:val="0"/>
            <w:vAlign w:val="center"/>
          </w:tcPr>
          <w:p w14:paraId="48F071F8">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0</w:t>
            </w:r>
          </w:p>
        </w:tc>
        <w:tc>
          <w:tcPr>
            <w:tcW w:w="1099" w:type="dxa"/>
            <w:tcBorders>
              <w:tl2br w:val="nil"/>
              <w:tr2bl w:val="nil"/>
            </w:tcBorders>
            <w:noWrap w:val="0"/>
            <w:vAlign w:val="center"/>
          </w:tcPr>
          <w:p w14:paraId="702CBDEB">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1359" w:type="dxa"/>
            <w:tcBorders>
              <w:tl2br w:val="nil"/>
              <w:tr2bl w:val="nil"/>
            </w:tcBorders>
            <w:noWrap w:val="0"/>
            <w:vAlign w:val="center"/>
          </w:tcPr>
          <w:p w14:paraId="2CF2FE79">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c>
          <w:tcPr>
            <w:tcW w:w="2231" w:type="dxa"/>
            <w:gridSpan w:val="2"/>
            <w:tcBorders>
              <w:tl2br w:val="nil"/>
              <w:tr2bl w:val="nil"/>
            </w:tcBorders>
            <w:noWrap w:val="0"/>
            <w:vAlign w:val="center"/>
          </w:tcPr>
          <w:p w14:paraId="6C2011A7">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r>
      <w:tr w14:paraId="0173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textDirection w:val="tbRlV"/>
            <w:vAlign w:val="center"/>
          </w:tcPr>
          <w:p w14:paraId="505ED40E">
            <w:pPr>
              <w:widowControl/>
              <w:spacing w:line="300" w:lineRule="exact"/>
              <w:jc w:val="center"/>
              <w:rPr>
                <w:rFonts w:hint="eastAsia" w:ascii="Times New Roman" w:hAnsi="Times New Roman" w:eastAsia="方正仿宋_GBK" w:cs="宋体"/>
                <w:color w:val="000000"/>
                <w:kern w:val="0"/>
                <w:sz w:val="24"/>
                <w:szCs w:val="24"/>
              </w:rPr>
            </w:pPr>
          </w:p>
        </w:tc>
        <w:tc>
          <w:tcPr>
            <w:tcW w:w="964" w:type="dxa"/>
            <w:tcBorders>
              <w:tl2br w:val="nil"/>
              <w:tr2bl w:val="nil"/>
            </w:tcBorders>
            <w:noWrap w:val="0"/>
            <w:vAlign w:val="center"/>
          </w:tcPr>
          <w:p w14:paraId="75DE6B8F">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补助事项公示率</w:t>
            </w:r>
          </w:p>
        </w:tc>
        <w:tc>
          <w:tcPr>
            <w:tcW w:w="500" w:type="dxa"/>
            <w:tcBorders>
              <w:tl2br w:val="nil"/>
              <w:tr2bl w:val="nil"/>
            </w:tcBorders>
            <w:noWrap w:val="0"/>
            <w:vAlign w:val="center"/>
          </w:tcPr>
          <w:p w14:paraId="3B18A93D">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w:t>
            </w:r>
          </w:p>
        </w:tc>
        <w:tc>
          <w:tcPr>
            <w:tcW w:w="709" w:type="dxa"/>
            <w:tcBorders>
              <w:tl2br w:val="nil"/>
              <w:tr2bl w:val="nil"/>
            </w:tcBorders>
            <w:noWrap w:val="0"/>
            <w:vAlign w:val="center"/>
          </w:tcPr>
          <w:p w14:paraId="290A0908">
            <w:pPr>
              <w:widowControl/>
              <w:spacing w:line="300" w:lineRule="exact"/>
              <w:jc w:val="center"/>
              <w:rPr>
                <w:rFonts w:hint="eastAsia" w:ascii="方正仿宋_GBK" w:hAnsi="方正仿宋_GBK" w:eastAsia="方正仿宋_GBK" w:cs="方正仿宋_GBK"/>
                <w:color w:val="000000"/>
                <w:kern w:val="0"/>
                <w:sz w:val="24"/>
                <w:szCs w:val="24"/>
              </w:rPr>
            </w:pPr>
            <w:r>
              <w:rPr>
                <w:rFonts w:hint="eastAsia" w:ascii="宋体" w:hAnsi="宋体" w:eastAsia="宋体" w:cs="宋体"/>
                <w:i w:val="0"/>
                <w:iCs w:val="0"/>
                <w:color w:val="000000"/>
                <w:kern w:val="0"/>
                <w:sz w:val="20"/>
                <w:szCs w:val="20"/>
                <w:u w:val="none"/>
                <w:lang w:val="en-US" w:eastAsia="zh-CN" w:bidi="ar"/>
              </w:rPr>
              <w:t>≧</w:t>
            </w:r>
          </w:p>
        </w:tc>
        <w:tc>
          <w:tcPr>
            <w:tcW w:w="708" w:type="dxa"/>
            <w:gridSpan w:val="2"/>
            <w:tcBorders>
              <w:tl2br w:val="nil"/>
              <w:tr2bl w:val="nil"/>
            </w:tcBorders>
            <w:noWrap w:val="0"/>
            <w:vAlign w:val="center"/>
          </w:tcPr>
          <w:p w14:paraId="3F67BEB0">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95</w:t>
            </w:r>
          </w:p>
        </w:tc>
        <w:tc>
          <w:tcPr>
            <w:tcW w:w="857" w:type="dxa"/>
            <w:tcBorders>
              <w:tl2br w:val="nil"/>
              <w:tr2bl w:val="nil"/>
            </w:tcBorders>
            <w:noWrap w:val="0"/>
            <w:vAlign w:val="center"/>
          </w:tcPr>
          <w:p w14:paraId="0DE62A79">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95</w:t>
            </w:r>
          </w:p>
        </w:tc>
        <w:tc>
          <w:tcPr>
            <w:tcW w:w="858" w:type="dxa"/>
            <w:gridSpan w:val="2"/>
            <w:tcBorders>
              <w:tl2br w:val="nil"/>
              <w:tr2bl w:val="nil"/>
            </w:tcBorders>
            <w:noWrap w:val="0"/>
            <w:vAlign w:val="center"/>
          </w:tcPr>
          <w:p w14:paraId="7371B8DB">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0</w:t>
            </w:r>
          </w:p>
        </w:tc>
        <w:tc>
          <w:tcPr>
            <w:tcW w:w="1099" w:type="dxa"/>
            <w:tcBorders>
              <w:tl2br w:val="nil"/>
              <w:tr2bl w:val="nil"/>
            </w:tcBorders>
            <w:noWrap w:val="0"/>
            <w:vAlign w:val="center"/>
          </w:tcPr>
          <w:p w14:paraId="0357D970">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1359" w:type="dxa"/>
            <w:tcBorders>
              <w:tl2br w:val="nil"/>
              <w:tr2bl w:val="nil"/>
            </w:tcBorders>
            <w:noWrap w:val="0"/>
            <w:vAlign w:val="center"/>
          </w:tcPr>
          <w:p w14:paraId="59283A8E">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c>
          <w:tcPr>
            <w:tcW w:w="2231" w:type="dxa"/>
            <w:gridSpan w:val="2"/>
            <w:tcBorders>
              <w:tl2br w:val="nil"/>
              <w:tr2bl w:val="nil"/>
            </w:tcBorders>
            <w:noWrap w:val="0"/>
            <w:vAlign w:val="center"/>
          </w:tcPr>
          <w:p w14:paraId="3DC23C5A">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r>
      <w:tr w14:paraId="287A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textDirection w:val="tbRlV"/>
            <w:vAlign w:val="center"/>
          </w:tcPr>
          <w:p w14:paraId="5B1E3330">
            <w:pPr>
              <w:widowControl/>
              <w:spacing w:line="300" w:lineRule="exact"/>
              <w:jc w:val="center"/>
              <w:rPr>
                <w:rFonts w:hint="eastAsia" w:ascii="Times New Roman" w:hAnsi="Times New Roman" w:eastAsia="方正仿宋_GBK" w:cs="宋体"/>
                <w:color w:val="000000"/>
                <w:kern w:val="0"/>
                <w:sz w:val="24"/>
                <w:szCs w:val="24"/>
              </w:rPr>
            </w:pPr>
          </w:p>
        </w:tc>
        <w:tc>
          <w:tcPr>
            <w:tcW w:w="964" w:type="dxa"/>
            <w:tcBorders>
              <w:tl2br w:val="nil"/>
              <w:tr2bl w:val="nil"/>
            </w:tcBorders>
            <w:noWrap w:val="0"/>
            <w:vAlign w:val="center"/>
          </w:tcPr>
          <w:p w14:paraId="312D0CD4">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人均补助标准</w:t>
            </w:r>
          </w:p>
        </w:tc>
        <w:tc>
          <w:tcPr>
            <w:tcW w:w="500" w:type="dxa"/>
            <w:tcBorders>
              <w:tl2br w:val="nil"/>
              <w:tr2bl w:val="nil"/>
            </w:tcBorders>
            <w:noWrap w:val="0"/>
            <w:vAlign w:val="center"/>
          </w:tcPr>
          <w:p w14:paraId="5618B2CE">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元</w:t>
            </w:r>
          </w:p>
        </w:tc>
        <w:tc>
          <w:tcPr>
            <w:tcW w:w="709" w:type="dxa"/>
            <w:tcBorders>
              <w:tl2br w:val="nil"/>
              <w:tr2bl w:val="nil"/>
            </w:tcBorders>
            <w:noWrap w:val="0"/>
            <w:vAlign w:val="center"/>
          </w:tcPr>
          <w:p w14:paraId="39674F4C">
            <w:pPr>
              <w:widowControl/>
              <w:spacing w:line="300" w:lineRule="exact"/>
              <w:jc w:val="center"/>
              <w:rPr>
                <w:rFonts w:hint="eastAsia" w:ascii="Times New Roman" w:hAnsi="Times New Roman" w:eastAsia="方正仿宋_GBK"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w:t>
            </w:r>
          </w:p>
        </w:tc>
        <w:tc>
          <w:tcPr>
            <w:tcW w:w="708" w:type="dxa"/>
            <w:gridSpan w:val="2"/>
            <w:tcBorders>
              <w:tl2br w:val="nil"/>
              <w:tr2bl w:val="nil"/>
            </w:tcBorders>
            <w:noWrap w:val="0"/>
            <w:vAlign w:val="center"/>
          </w:tcPr>
          <w:p w14:paraId="31B4BC59">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1405</w:t>
            </w:r>
          </w:p>
        </w:tc>
        <w:tc>
          <w:tcPr>
            <w:tcW w:w="857" w:type="dxa"/>
            <w:tcBorders>
              <w:tl2br w:val="nil"/>
              <w:tr2bl w:val="nil"/>
            </w:tcBorders>
            <w:noWrap w:val="0"/>
            <w:vAlign w:val="center"/>
          </w:tcPr>
          <w:p w14:paraId="7F6B6555">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1482</w:t>
            </w:r>
          </w:p>
        </w:tc>
        <w:tc>
          <w:tcPr>
            <w:tcW w:w="858" w:type="dxa"/>
            <w:gridSpan w:val="2"/>
            <w:tcBorders>
              <w:tl2br w:val="nil"/>
              <w:tr2bl w:val="nil"/>
            </w:tcBorders>
            <w:noWrap w:val="0"/>
            <w:vAlign w:val="center"/>
          </w:tcPr>
          <w:p w14:paraId="2C0AEDAF">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5.48</w:t>
            </w:r>
          </w:p>
        </w:tc>
        <w:tc>
          <w:tcPr>
            <w:tcW w:w="1099" w:type="dxa"/>
            <w:tcBorders>
              <w:tl2br w:val="nil"/>
              <w:tr2bl w:val="nil"/>
            </w:tcBorders>
            <w:noWrap w:val="0"/>
            <w:vAlign w:val="center"/>
          </w:tcPr>
          <w:p w14:paraId="0C20FB15">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1359" w:type="dxa"/>
            <w:tcBorders>
              <w:tl2br w:val="nil"/>
              <w:tr2bl w:val="nil"/>
            </w:tcBorders>
            <w:noWrap w:val="0"/>
            <w:vAlign w:val="center"/>
          </w:tcPr>
          <w:p w14:paraId="46D1B1CC">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c>
          <w:tcPr>
            <w:tcW w:w="2231" w:type="dxa"/>
            <w:gridSpan w:val="2"/>
            <w:tcBorders>
              <w:tl2br w:val="nil"/>
              <w:tr2bl w:val="nil"/>
            </w:tcBorders>
            <w:noWrap w:val="0"/>
            <w:vAlign w:val="center"/>
          </w:tcPr>
          <w:p w14:paraId="714759D0">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r>
      <w:tr w14:paraId="0141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47" w:type="dxa"/>
            <w:tcBorders>
              <w:tl2br w:val="nil"/>
              <w:tr2bl w:val="nil"/>
            </w:tcBorders>
            <w:noWrap w:val="0"/>
            <w:vAlign w:val="center"/>
          </w:tcPr>
          <w:p w14:paraId="200C59DB">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说明</w:t>
            </w:r>
          </w:p>
        </w:tc>
        <w:tc>
          <w:tcPr>
            <w:tcW w:w="9285" w:type="dxa"/>
            <w:gridSpan w:val="12"/>
            <w:tcBorders>
              <w:tl2br w:val="nil"/>
              <w:tr2bl w:val="nil"/>
            </w:tcBorders>
            <w:noWrap w:val="0"/>
            <w:vAlign w:val="center"/>
          </w:tcPr>
          <w:p w14:paraId="2245E348">
            <w:pPr>
              <w:widowControl/>
              <w:spacing w:line="300" w:lineRule="exact"/>
              <w:rPr>
                <w:rFonts w:hint="eastAsia" w:ascii="Times New Roman" w:hAnsi="Times New Roman" w:eastAsia="方正仿宋_GBK" w:cs="宋体"/>
                <w:color w:val="000000"/>
                <w:kern w:val="0"/>
                <w:sz w:val="24"/>
                <w:szCs w:val="24"/>
              </w:rPr>
            </w:pPr>
          </w:p>
        </w:tc>
      </w:tr>
    </w:tbl>
    <w:p w14:paraId="519ECF62">
      <w:pPr>
        <w:pStyle w:val="4"/>
        <w:shd w:val="clear" w:color="auto" w:fill="FFFFFF"/>
        <w:snapToGrid w:val="0"/>
        <w:ind w:firstLine="542" w:firstLineChars="200"/>
        <w:rPr>
          <w:rStyle w:val="7"/>
          <w:rFonts w:hint="eastAsia"/>
          <w:sz w:val="27"/>
          <w:szCs w:val="27"/>
        </w:rPr>
      </w:pPr>
    </w:p>
    <w:p w14:paraId="4EC0C31E">
      <w:pPr>
        <w:pStyle w:val="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3" w:firstLineChars="200"/>
        <w:jc w:val="left"/>
        <w:textAlignment w:val="auto"/>
        <w:rPr>
          <w:rFonts w:hint="eastAsia" w:ascii="宋体" w:hAnsi="宋体" w:eastAsia="方正仿宋_GBK" w:cs="方正仿宋_GBK"/>
          <w:b/>
          <w:bCs/>
          <w:color w:val="auto"/>
          <w:sz w:val="32"/>
          <w:szCs w:val="22"/>
          <w:lang w:val="en-US" w:eastAsia="zh-CN" w:bidi="ar"/>
        </w:rPr>
      </w:pPr>
      <w:r>
        <w:rPr>
          <w:rFonts w:hint="eastAsia" w:ascii="宋体" w:hAnsi="宋体" w:eastAsia="方正仿宋_GBK" w:cs="方正仿宋_GBK"/>
          <w:b/>
          <w:bCs/>
          <w:color w:val="auto"/>
          <w:sz w:val="32"/>
          <w:szCs w:val="22"/>
          <w:lang w:val="en-US" w:eastAsia="zh-CN" w:bidi="ar"/>
        </w:rPr>
        <w:t>2.绩效自评报告或案例</w:t>
      </w:r>
    </w:p>
    <w:p w14:paraId="361B33F0">
      <w:pPr>
        <w:pStyle w:val="4"/>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本部门未委托第三方开展202</w:t>
      </w:r>
      <w:r>
        <w:rPr>
          <w:rFonts w:hint="eastAsia" w:eastAsia="方正仿宋_GBK" w:cs="Times New Roman"/>
          <w:kern w:val="2"/>
          <w:sz w:val="32"/>
          <w:szCs w:val="32"/>
          <w:lang w:val="en-US" w:eastAsia="zh-CN" w:bidi="ar-SA"/>
        </w:rPr>
        <w:t>4</w:t>
      </w:r>
      <w:r>
        <w:rPr>
          <w:rFonts w:hint="eastAsia" w:ascii="宋体" w:hAnsi="宋体" w:eastAsia="方正仿宋_GBK" w:cs="Times New Roman"/>
          <w:kern w:val="2"/>
          <w:sz w:val="32"/>
          <w:szCs w:val="32"/>
          <w:lang w:val="en-US" w:eastAsia="zh-CN" w:bidi="ar-SA"/>
        </w:rPr>
        <w:t>年绩效自评，无报告和案例。</w:t>
      </w:r>
    </w:p>
    <w:p w14:paraId="22D4DE34">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exact"/>
        <w:textAlignment w:val="auto"/>
        <w:rPr>
          <w:rStyle w:val="11"/>
          <w:rFonts w:hint="eastAsia" w:ascii="宋体" w:hAnsi="宋体" w:eastAsia="方正楷体_GBK" w:cs="方正楷体_GBK"/>
          <w:b w:val="0"/>
          <w:bCs/>
          <w:kern w:val="2"/>
          <w:sz w:val="32"/>
          <w:szCs w:val="32"/>
          <w:shd w:val="clear" w:color="auto" w:fill="FFFFFF"/>
          <w:lang w:val="en-US" w:eastAsia="zh-CN" w:bidi="ar-SA"/>
        </w:rPr>
      </w:pPr>
      <w:r>
        <w:rPr>
          <w:rStyle w:val="7"/>
          <w:rFonts w:hint="eastAsia"/>
          <w:sz w:val="27"/>
          <w:szCs w:val="27"/>
          <w:lang w:val="en-US" w:eastAsia="zh-CN"/>
        </w:rPr>
        <w:t xml:space="preserve">   </w:t>
      </w:r>
      <w:r>
        <w:rPr>
          <w:rStyle w:val="11"/>
          <w:rFonts w:hint="eastAsia" w:ascii="宋体" w:hAnsi="宋体" w:eastAsia="方正楷体_GBK" w:cs="方正楷体_GBK"/>
          <w:b w:val="0"/>
          <w:bCs/>
          <w:kern w:val="2"/>
          <w:sz w:val="32"/>
          <w:szCs w:val="32"/>
          <w:shd w:val="clear" w:color="auto" w:fill="FFFFFF"/>
          <w:lang w:val="en-US" w:eastAsia="zh-CN" w:bidi="ar-SA"/>
        </w:rPr>
        <w:t>（三） 重点绩效评价结果</w:t>
      </w:r>
    </w:p>
    <w:p w14:paraId="343174DF">
      <w:pPr>
        <w:pStyle w:val="4"/>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本部门未委托第三方开展202</w:t>
      </w:r>
      <w:r>
        <w:rPr>
          <w:rFonts w:hint="eastAsia" w:eastAsia="方正仿宋_GBK" w:cs="Times New Roman"/>
          <w:kern w:val="2"/>
          <w:sz w:val="32"/>
          <w:szCs w:val="32"/>
          <w:lang w:val="en-US" w:eastAsia="zh-CN" w:bidi="ar-SA"/>
        </w:rPr>
        <w:t>4</w:t>
      </w:r>
      <w:r>
        <w:rPr>
          <w:rFonts w:hint="eastAsia" w:ascii="宋体" w:hAnsi="宋体" w:eastAsia="方正仿宋_GBK" w:cs="Times New Roman"/>
          <w:kern w:val="2"/>
          <w:sz w:val="32"/>
          <w:szCs w:val="32"/>
          <w:lang w:val="en-US" w:eastAsia="zh-CN" w:bidi="ar-SA"/>
        </w:rPr>
        <w:t>年重点绩效评价，无重点绩效评价结果。</w:t>
      </w:r>
    </w:p>
    <w:p w14:paraId="28E8ED0B">
      <w:pPr>
        <w:pStyle w:val="4"/>
        <w:numPr>
          <w:ilvl w:val="0"/>
          <w:numId w:val="0"/>
        </w:numPr>
        <w:shd w:val="clear" w:color="auto" w:fill="FFFFFF"/>
        <w:snapToGrid w:val="0"/>
        <w:ind w:firstLine="663" w:firstLineChars="200"/>
        <w:rPr>
          <w:rStyle w:val="7"/>
          <w:rFonts w:hint="eastAsia" w:ascii="方正黑体_GBK" w:hAnsi="方正黑体_GBK" w:eastAsia="方正黑体_GBK" w:cs="方正黑体_GBK"/>
          <w:sz w:val="33"/>
          <w:szCs w:val="33"/>
          <w:lang w:eastAsia="zh-CN"/>
        </w:rPr>
      </w:pPr>
      <w:r>
        <w:rPr>
          <w:rStyle w:val="7"/>
          <w:rFonts w:hint="eastAsia" w:ascii="方正黑体_GBK" w:hAnsi="方正黑体_GBK" w:eastAsia="方正黑体_GBK" w:cs="方正黑体_GBK"/>
          <w:sz w:val="33"/>
          <w:szCs w:val="33"/>
          <w:lang w:eastAsia="zh-CN"/>
        </w:rPr>
        <w:t>六、专业名词解释</w:t>
      </w:r>
    </w:p>
    <w:p w14:paraId="4767B28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14:paraId="625902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14:paraId="02B4471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5EFF9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14:paraId="1C43C27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14:paraId="6E1DD5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14:paraId="38423F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14:paraId="6F31B6D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0BE0CD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14:paraId="45D36C7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7A0B71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24A14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14:paraId="409475C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14:paraId="5DF68D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14:paraId="62C85BAF">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22B2FD75">
      <w:pPr>
        <w:pStyle w:val="4"/>
        <w:numPr>
          <w:ilvl w:val="0"/>
          <w:numId w:val="0"/>
        </w:numPr>
        <w:shd w:val="clear" w:color="auto" w:fill="FFFFFF"/>
        <w:snapToGrid w:val="0"/>
        <w:ind w:firstLine="663" w:firstLineChars="200"/>
        <w:rPr>
          <w:rStyle w:val="7"/>
          <w:rFonts w:hint="eastAsia" w:ascii="方正黑体_GBK" w:hAnsi="方正黑体_GBK" w:eastAsia="方正黑体_GBK" w:cs="方正黑体_GBK"/>
          <w:sz w:val="33"/>
          <w:szCs w:val="33"/>
          <w:lang w:eastAsia="zh-CN"/>
        </w:rPr>
      </w:pPr>
      <w:r>
        <w:rPr>
          <w:rStyle w:val="7"/>
          <w:rFonts w:hint="eastAsia" w:ascii="方正黑体_GBK" w:hAnsi="方正黑体_GBK" w:eastAsia="方正黑体_GBK" w:cs="方正黑体_GBK"/>
          <w:sz w:val="33"/>
          <w:szCs w:val="33"/>
          <w:lang w:eastAsia="zh-CN"/>
        </w:rPr>
        <w:t>七、决算公开联系方式及信息反馈渠道</w:t>
      </w:r>
    </w:p>
    <w:p w14:paraId="6EC9694B">
      <w:pPr>
        <w:pStyle w:val="4"/>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本单位决算公开信息反馈和联系方式：</w:t>
      </w:r>
    </w:p>
    <w:p w14:paraId="3DBBBDF1">
      <w:pPr>
        <w:pStyle w:val="4"/>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lang w:val="en-US"/>
        </w:rPr>
      </w:pPr>
      <w:r>
        <w:rPr>
          <w:rFonts w:hint="eastAsia" w:eastAsia="方正仿宋_GBK" w:cs="Times New Roman"/>
          <w:kern w:val="2"/>
          <w:sz w:val="32"/>
          <w:szCs w:val="32"/>
          <w:lang w:val="en-US" w:eastAsia="zh-CN" w:bidi="ar-SA"/>
        </w:rPr>
        <w:t>联系人：周建军       联系电话：</w:t>
      </w:r>
      <w:r>
        <w:rPr>
          <w:rFonts w:hint="eastAsia" w:ascii="宋体" w:hAnsi="宋体" w:eastAsia="方正仿宋_GBK" w:cs="Times New Roman"/>
          <w:kern w:val="2"/>
          <w:sz w:val="32"/>
          <w:szCs w:val="32"/>
          <w:lang w:val="en-US" w:eastAsia="zh-CN" w:bidi="ar-SA"/>
        </w:rPr>
        <w:t>023-475</w:t>
      </w:r>
      <w:r>
        <w:rPr>
          <w:rFonts w:hint="eastAsia" w:eastAsia="方正仿宋_GBK" w:cs="Times New Roman"/>
          <w:kern w:val="2"/>
          <w:sz w:val="32"/>
          <w:szCs w:val="32"/>
          <w:lang w:val="en-US" w:eastAsia="zh-CN" w:bidi="ar-SA"/>
        </w:rPr>
        <w:t>55632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40E09"/>
    <w:multiLevelType w:val="singleLevel"/>
    <w:tmpl w:val="63740E0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TRjMmMxNWQ5ZjE4ZmQyZWM2ODAyZWY3ZTQ3NDgifQ=="/>
  </w:docVars>
  <w:rsids>
    <w:rsidRoot w:val="00126EF5"/>
    <w:rsid w:val="000145E3"/>
    <w:rsid w:val="000A679F"/>
    <w:rsid w:val="000F563B"/>
    <w:rsid w:val="00126EF5"/>
    <w:rsid w:val="00181D4F"/>
    <w:rsid w:val="002F11B9"/>
    <w:rsid w:val="003615E7"/>
    <w:rsid w:val="003968CB"/>
    <w:rsid w:val="003C3BD4"/>
    <w:rsid w:val="003E3C1A"/>
    <w:rsid w:val="00427E14"/>
    <w:rsid w:val="00484712"/>
    <w:rsid w:val="00504407"/>
    <w:rsid w:val="006513CB"/>
    <w:rsid w:val="00695F09"/>
    <w:rsid w:val="006E7C48"/>
    <w:rsid w:val="007032AB"/>
    <w:rsid w:val="007E6519"/>
    <w:rsid w:val="00822BA0"/>
    <w:rsid w:val="0087142F"/>
    <w:rsid w:val="00924EF6"/>
    <w:rsid w:val="009E6C2B"/>
    <w:rsid w:val="00A21256"/>
    <w:rsid w:val="00A40334"/>
    <w:rsid w:val="00A57C97"/>
    <w:rsid w:val="00B7330C"/>
    <w:rsid w:val="00C2392B"/>
    <w:rsid w:val="00C6112D"/>
    <w:rsid w:val="00CA1824"/>
    <w:rsid w:val="00D8328F"/>
    <w:rsid w:val="00DA5469"/>
    <w:rsid w:val="00E40964"/>
    <w:rsid w:val="00F06C97"/>
    <w:rsid w:val="00FF4780"/>
    <w:rsid w:val="01E922C5"/>
    <w:rsid w:val="03075394"/>
    <w:rsid w:val="06CC76A2"/>
    <w:rsid w:val="0891196D"/>
    <w:rsid w:val="0B0D2737"/>
    <w:rsid w:val="0F4F7046"/>
    <w:rsid w:val="161A22D5"/>
    <w:rsid w:val="171E37C9"/>
    <w:rsid w:val="183F259F"/>
    <w:rsid w:val="1A9B6530"/>
    <w:rsid w:val="1D566621"/>
    <w:rsid w:val="24DF3826"/>
    <w:rsid w:val="2B1F2F76"/>
    <w:rsid w:val="2EC71A80"/>
    <w:rsid w:val="32B56F58"/>
    <w:rsid w:val="37160870"/>
    <w:rsid w:val="3C212A8A"/>
    <w:rsid w:val="3F8D7E81"/>
    <w:rsid w:val="4446073F"/>
    <w:rsid w:val="448D5050"/>
    <w:rsid w:val="44A418E8"/>
    <w:rsid w:val="44B329EF"/>
    <w:rsid w:val="45584C07"/>
    <w:rsid w:val="46A73705"/>
    <w:rsid w:val="4B7D040E"/>
    <w:rsid w:val="4C383703"/>
    <w:rsid w:val="4C3B5E01"/>
    <w:rsid w:val="4CC32B84"/>
    <w:rsid w:val="4DB9018E"/>
    <w:rsid w:val="4E1A54F0"/>
    <w:rsid w:val="4E307ED8"/>
    <w:rsid w:val="4E325478"/>
    <w:rsid w:val="4FBC34E1"/>
    <w:rsid w:val="50B85703"/>
    <w:rsid w:val="51340CEF"/>
    <w:rsid w:val="520F5979"/>
    <w:rsid w:val="52EE3A81"/>
    <w:rsid w:val="53544690"/>
    <w:rsid w:val="56067F83"/>
    <w:rsid w:val="560F5DDF"/>
    <w:rsid w:val="57D94D51"/>
    <w:rsid w:val="59B84C21"/>
    <w:rsid w:val="5B6D5D15"/>
    <w:rsid w:val="5CB3659F"/>
    <w:rsid w:val="5E384CF9"/>
    <w:rsid w:val="64865C80"/>
    <w:rsid w:val="649E691B"/>
    <w:rsid w:val="665D79DE"/>
    <w:rsid w:val="67673907"/>
    <w:rsid w:val="6975577D"/>
    <w:rsid w:val="6B4A1D00"/>
    <w:rsid w:val="6F2E5233"/>
    <w:rsid w:val="6FB74DA3"/>
    <w:rsid w:val="7296440B"/>
    <w:rsid w:val="78B06DA1"/>
    <w:rsid w:val="7A4B719A"/>
    <w:rsid w:val="7B9F6E70"/>
    <w:rsid w:val="7BA34ADF"/>
    <w:rsid w:val="7BCF0C95"/>
    <w:rsid w:val="7CA4377F"/>
    <w:rsid w:val="7E9C613D"/>
    <w:rsid w:val="7FF83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23"/>
    <w:basedOn w:val="6"/>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7115</Words>
  <Characters>7925</Characters>
  <Lines>53</Lines>
  <Paragraphs>15</Paragraphs>
  <TotalTime>0</TotalTime>
  <ScaleCrop>false</ScaleCrop>
  <LinksUpToDate>false</LinksUpToDate>
  <CharactersWithSpaces>7943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2021-08-09T09:01:00Z</dcterms:created>
  <dc:creator>1304</dc:creator>
  <cp:lastModifiedBy>Administrator</cp:lastModifiedBy>
  <cp:lastPrinted>2022-08-30T06:03:00Z</cp:lastPrinted>
  <dcterms:modified xsi:type="dcterms:W3CDTF">2025-08-15T09:08:24Z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1E0A8E1A54CA4A9A90B1699DD24E4768</vt:lpwstr>
  </property>
  <property fmtid="{D5CDD505-2E9C-101B-9397-08002B2CF9AE}" pid="4" name="KSOTemplateDocerSaveRecord">
    <vt:lpwstr>eyJoZGlkIjoiZTY2NzMxODgwYjExYTRiMzM2NGZjNTllYTJlYjdhOTIifQ==</vt:lpwstr>
  </property>
</Properties>
</file>