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spacing w:line="579" w:lineRule="exact"/>
        <w:jc w:val="center"/>
        <w:textAlignment w:val="auto"/>
        <w:rPr>
          <w:rFonts w:hint="default" w:ascii="宋体" w:hAnsi="宋体" w:eastAsia="方正小标宋_GBK" w:cs="方正小标宋_GBK"/>
          <w:sz w:val="44"/>
          <w:szCs w:val="44"/>
          <w:lang w:val="en-US"/>
        </w:rPr>
      </w:pPr>
      <w:r>
        <w:rPr>
          <w:rFonts w:hint="eastAsia" w:ascii="宋体" w:hAnsi="宋体" w:eastAsia="方正小标宋_GBK" w:cs="方正小标宋_GBK"/>
          <w:sz w:val="44"/>
          <w:szCs w:val="44"/>
          <w:lang w:val="en-US" w:eastAsia="zh-CN"/>
        </w:rPr>
        <w:t>重庆市江津区社会福利院（汇总</w:t>
      </w:r>
      <w:bookmarkStart w:id="0" w:name="_GoBack"/>
      <w:bookmarkEnd w:id="0"/>
      <w:r>
        <w:rPr>
          <w:rFonts w:hint="eastAsia" w:ascii="宋体" w:hAnsi="宋体" w:eastAsia="方正小标宋_GBK" w:cs="方正小标宋_GBK"/>
          <w:sz w:val="44"/>
          <w:szCs w:val="44"/>
          <w:lang w:val="en-US" w:eastAsia="zh-CN"/>
        </w:rPr>
        <w:t xml:space="preserve">） </w:t>
      </w:r>
    </w:p>
    <w:p>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202</w:t>
      </w:r>
      <w:r>
        <w:rPr>
          <w:rFonts w:hint="eastAsia" w:ascii="宋体" w:hAnsi="宋体" w:eastAsia="方正小标宋_GBK" w:cs="方正小标宋_GBK"/>
          <w:sz w:val="44"/>
          <w:szCs w:val="44"/>
          <w:lang w:val="en-US" w:eastAsia="zh-CN"/>
        </w:rPr>
        <w:t>4年度部门决算公开</w:t>
      </w:r>
      <w:r>
        <w:rPr>
          <w:rFonts w:hint="eastAsia" w:ascii="宋体" w:hAnsi="宋体" w:eastAsia="方正小标宋_GBK" w:cs="方正小标宋_GBK"/>
          <w:sz w:val="44"/>
          <w:szCs w:val="44"/>
        </w:rPr>
        <w:t>说明</w:t>
      </w:r>
    </w:p>
    <w:p>
      <w:pPr>
        <w:keepNext w:val="0"/>
        <w:keepLines w:val="0"/>
        <w:pageBreakBefore w:val="0"/>
        <w:kinsoku/>
        <w:wordWrap/>
        <w:overflowPunct/>
        <w:topLinePunct w:val="0"/>
        <w:autoSpaceDN/>
        <w:bidi w:val="0"/>
        <w:snapToGrid/>
        <w:spacing w:line="579" w:lineRule="exact"/>
        <w:ind w:firstLine="1100" w:firstLineChars="250"/>
        <w:textAlignment w:val="auto"/>
        <w:rPr>
          <w:rFonts w:hint="eastAsia" w:ascii="宋体" w:hAnsi="宋体" w:eastAsia="方正仿宋_GBK" w:cs="方正仿宋_GBK"/>
          <w:sz w:val="44"/>
          <w:szCs w:val="44"/>
        </w:rPr>
      </w:pP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w:t>
      </w:r>
      <w:r>
        <w:rPr>
          <w:rFonts w:hint="eastAsia" w:ascii="宋体" w:hAnsi="宋体" w:eastAsia="方正黑体_GBK" w:cs="方正黑体_GBK"/>
          <w:sz w:val="32"/>
          <w:szCs w:val="32"/>
          <w:lang w:val="en-US" w:eastAsia="zh-CN"/>
        </w:rPr>
        <w:t>部门</w:t>
      </w:r>
      <w:r>
        <w:rPr>
          <w:rFonts w:hint="eastAsia" w:ascii="宋体" w:hAnsi="宋体" w:eastAsia="方正黑体_GBK" w:cs="方正黑体_GBK"/>
          <w:sz w:val="32"/>
          <w:szCs w:val="32"/>
        </w:rPr>
        <w:t>基本情况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val="en-US" w:eastAsia="zh-CN"/>
        </w:rPr>
      </w:pP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一</w:t>
      </w: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职能职责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eastAsia" w:ascii="方正仿宋_GBK" w:hAnsi="方正仿宋_GBK" w:eastAsia="方正仿宋_GBK" w:cs="方正仿宋_GBK"/>
          <w:i w:val="0"/>
          <w:iCs w:val="0"/>
          <w:caps w:val="0"/>
          <w:spacing w:val="0"/>
          <w:sz w:val="32"/>
          <w:szCs w:val="32"/>
          <w:shd w:val="clear" w:color="auto" w:fill="FFFFFF"/>
          <w:lang w:eastAsia="zh-CN"/>
        </w:rPr>
      </w:pPr>
      <w:r>
        <w:rPr>
          <w:rFonts w:hint="eastAsia" w:ascii="方正仿宋_GBK" w:hAnsi="方正仿宋_GBK" w:eastAsia="方正仿宋_GBK" w:cs="方正仿宋_GBK"/>
          <w:i w:val="0"/>
          <w:iCs w:val="0"/>
          <w:caps w:val="0"/>
          <w:spacing w:val="0"/>
          <w:sz w:val="32"/>
          <w:szCs w:val="32"/>
          <w:shd w:val="clear" w:color="auto" w:fill="FFFFFF"/>
          <w:lang w:eastAsia="zh-CN"/>
        </w:rPr>
        <w:t>重庆市江津区社会福利院主要宗旨为：提供收养服务，弘扬救助精神。其主要职责任务为：负责收养无生活来源、无劳动能力、无依无靠人员及其教育、管理和服务工作；负责收养社会弃婴和孤残儿童及其教育、管理和送养工作；负责涉外儿童的收养；面向社会开展老年人代养等服务；承办行政主管部门交办的其它任务。</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val="en-US" w:eastAsia="zh-CN"/>
        </w:rPr>
        <w:t>机构设置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right="0"/>
        <w:textAlignment w:val="auto"/>
        <w:rPr>
          <w:rFonts w:hint="eastAsia" w:ascii="方正仿宋_GBK" w:hAnsi="方正仿宋_GBK" w:eastAsia="方正仿宋_GBK" w:cs="方正仿宋_GBK"/>
          <w:i w:val="0"/>
          <w:iCs w:val="0"/>
          <w:caps w:val="0"/>
          <w:spacing w:val="0"/>
          <w:sz w:val="32"/>
          <w:szCs w:val="32"/>
          <w:shd w:val="clear" w:color="auto" w:fill="FFFFFF"/>
          <w:lang w:eastAsia="zh-CN"/>
        </w:rPr>
      </w:pPr>
      <w:r>
        <w:rPr>
          <w:rFonts w:hint="eastAsia" w:ascii="宋体" w:hAnsi="宋体" w:eastAsia="方正楷体_GBK" w:cs="方正楷体_GBK"/>
          <w:kern w:val="0"/>
          <w:sz w:val="32"/>
          <w:szCs w:val="32"/>
          <w:lang w:val="en-US" w:eastAsia="zh-CN"/>
        </w:rPr>
        <w:t xml:space="preserve">    重庆市江津区社会福利院是区民政局下属全额拨款正科级事业单位，</w:t>
      </w:r>
      <w:r>
        <w:rPr>
          <w:rFonts w:hint="eastAsia" w:ascii="方正仿宋_GBK" w:hAnsi="方正仿宋_GBK" w:eastAsia="方正仿宋_GBK" w:cs="方正仿宋_GBK"/>
          <w:i w:val="0"/>
          <w:iCs w:val="0"/>
          <w:caps w:val="0"/>
          <w:spacing w:val="0"/>
          <w:sz w:val="32"/>
          <w:szCs w:val="32"/>
          <w:shd w:val="clear" w:color="auto" w:fill="FFFFFF"/>
          <w:lang w:eastAsia="zh-CN"/>
        </w:rPr>
        <w:t>下设科室：院办公室、财务室、儿童部、医疗康复科、养老服务科。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宋体" w:hAnsi="宋体" w:eastAsia="方正仿宋_GBK" w:cs="方正仿宋_GBK"/>
          <w:kern w:val="0"/>
          <w:sz w:val="32"/>
          <w:szCs w:val="32"/>
          <w:lang w:eastAsia="zh-CN"/>
        </w:rPr>
      </w:pPr>
      <w:r>
        <w:rPr>
          <w:rFonts w:hint="default" w:ascii="方正仿宋_GBK" w:hAnsi="方正仿宋_GBK" w:eastAsia="方正仿宋_GBK" w:cs="方正仿宋_GBK"/>
          <w:i w:val="0"/>
          <w:iCs w:val="0"/>
          <w:caps w:val="0"/>
          <w:spacing w:val="0"/>
          <w:sz w:val="32"/>
          <w:szCs w:val="32"/>
          <w:shd w:val="clear" w:color="auto" w:fill="FFFFFF"/>
          <w:lang w:eastAsia="zh-CN"/>
        </w:rPr>
        <w:t>从预算单位构成看，</w:t>
      </w:r>
      <w:r>
        <w:rPr>
          <w:rFonts w:hint="eastAsia" w:ascii="方正仿宋_GBK" w:hAnsi="方正仿宋_GBK" w:eastAsia="方正仿宋_GBK" w:cs="方正仿宋_GBK"/>
          <w:i w:val="0"/>
          <w:iCs w:val="0"/>
          <w:caps w:val="0"/>
          <w:spacing w:val="0"/>
          <w:sz w:val="32"/>
          <w:szCs w:val="32"/>
          <w:shd w:val="clear" w:color="auto" w:fill="FFFFFF"/>
          <w:lang w:val="en-US" w:eastAsia="zh-CN"/>
        </w:rPr>
        <w:t>2024年纳入本部门决算编制的单位为重庆市江津区社会福利院（本级）一个单位</w:t>
      </w:r>
      <w:r>
        <w:rPr>
          <w:rFonts w:hint="default" w:ascii="方正仿宋_GBK" w:hAnsi="方正仿宋_GBK" w:eastAsia="方正仿宋_GBK" w:cs="方正仿宋_GBK"/>
          <w:i w:val="0"/>
          <w:iCs w:val="0"/>
          <w:caps w:val="0"/>
          <w:spacing w:val="0"/>
          <w:sz w:val="32"/>
          <w:szCs w:val="32"/>
          <w:shd w:val="clear" w:color="auto" w:fill="FFFFFF"/>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部门决算情况</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部门收支总体情况</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收入支出总体情况。</w:t>
      </w:r>
      <w:r>
        <w:rPr>
          <w:rFonts w:hint="eastAsia" w:ascii="宋体" w:hAnsi="宋体" w:eastAsia="方正仿宋_GBK" w:cs="方正仿宋_GBK"/>
          <w:b w:val="0"/>
          <w:bCs w:val="0"/>
          <w:sz w:val="32"/>
          <w:szCs w:val="32"/>
          <w:lang w:val="en-US" w:eastAsia="zh-CN"/>
        </w:rPr>
        <w:t>2024年度收入总计965.34万元，支出总计965.34万元。收支较上年减少133.75万元，下降12.17%，主要原因为2024年儿童福利院改造项目正在实施中，尚未完工和完成支付。</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收入情况。</w:t>
      </w:r>
      <w:r>
        <w:rPr>
          <w:rFonts w:hint="eastAsia" w:ascii="宋体" w:hAnsi="宋体" w:eastAsia="方正仿宋_GBK" w:cs="方正仿宋_GBK"/>
          <w:b w:val="0"/>
          <w:bCs w:val="0"/>
          <w:sz w:val="32"/>
          <w:szCs w:val="32"/>
          <w:lang w:val="en-US" w:eastAsia="zh-CN"/>
        </w:rPr>
        <w:t>2024年度本年收入合计955.26万元，较上年减少70.43万元，下降6.87%，主要原因为2024年儿童福利院改造项目正在实施中，尚未完工和完成支付。其中：财政拨款收入861.92万元，占比90.23%；事业收入4.43万元，占比0.46%；其他收入88.92万元，占比9.31%。</w:t>
      </w:r>
      <w:r>
        <w:rPr>
          <w:rFonts w:ascii="方正仿宋_GBK" w:hAnsi="方正仿宋_GBK" w:eastAsia="方正仿宋_GBK" w:cs="方正仿宋_GBK"/>
          <w:sz w:val="32"/>
          <w:szCs w:val="32"/>
          <w:shd w:val="clear" w:color="auto" w:fill="FFFFFF"/>
        </w:rPr>
        <w:t>此外，使用非财政拨款结余和专用结余</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shd w:val="clear" w:color="auto" w:fill="FFFFFF"/>
          <w:lang w:val="en-US" w:eastAsia="zh-CN"/>
        </w:rPr>
        <w:t>10.08</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支出情况。</w:t>
      </w:r>
      <w:r>
        <w:rPr>
          <w:rFonts w:hint="eastAsia" w:ascii="宋体" w:hAnsi="宋体" w:eastAsia="方正仿宋_GBK" w:cs="方正仿宋_GBK"/>
          <w:b w:val="0"/>
          <w:bCs w:val="0"/>
          <w:sz w:val="32"/>
          <w:szCs w:val="32"/>
          <w:lang w:val="en-US" w:eastAsia="zh-CN"/>
        </w:rPr>
        <w:t>2024年度本年支出合计944.88万元，</w:t>
      </w:r>
      <w:r>
        <w:rPr>
          <w:rFonts w:hint="eastAsia" w:ascii="宋体" w:hAnsi="宋体" w:eastAsia="方正仿宋_GBK" w:cs="方正仿宋_GBK"/>
          <w:sz w:val="32"/>
        </w:rPr>
        <w:t>较</w:t>
      </w:r>
      <w:r>
        <w:rPr>
          <w:rFonts w:hint="eastAsia" w:ascii="宋体" w:hAnsi="宋体" w:eastAsia="方正仿宋_GBK" w:cs="方正仿宋_GBK"/>
          <w:sz w:val="32"/>
          <w:lang w:val="en-US" w:eastAsia="zh-CN"/>
        </w:rPr>
        <w:t>上年减少136.78</w:t>
      </w:r>
      <w:r>
        <w:rPr>
          <w:rFonts w:hint="eastAsia" w:ascii="宋体" w:hAnsi="宋体" w:eastAsia="方正仿宋_GBK" w:cs="方正仿宋_GBK"/>
          <w:sz w:val="32"/>
        </w:rPr>
        <w:t>万元，</w:t>
      </w:r>
      <w:r>
        <w:rPr>
          <w:rFonts w:hint="eastAsia" w:ascii="宋体" w:hAnsi="宋体" w:eastAsia="方正仿宋_GBK" w:cs="方正仿宋_GBK"/>
          <w:sz w:val="32"/>
          <w:lang w:val="en-US" w:eastAsia="zh-CN"/>
        </w:rPr>
        <w:t>下降12.65</w:t>
      </w:r>
      <w:r>
        <w:rPr>
          <w:rFonts w:hint="eastAsia" w:ascii="宋体" w:hAnsi="宋体" w:eastAsia="方正仿宋_GBK" w:cs="方正仿宋_GBK"/>
          <w:b w:val="0"/>
          <w:bCs w:val="0"/>
          <w:sz w:val="32"/>
          <w:szCs w:val="32"/>
          <w:lang w:val="en-US" w:eastAsia="zh-CN"/>
        </w:rPr>
        <w:t>%，</w:t>
      </w:r>
      <w:r>
        <w:rPr>
          <w:rFonts w:hint="eastAsia" w:ascii="宋体" w:hAnsi="宋体" w:eastAsia="方正仿宋_GBK" w:cs="方正仿宋_GBK"/>
          <w:sz w:val="32"/>
        </w:rPr>
        <w:t>主要</w:t>
      </w:r>
      <w:r>
        <w:rPr>
          <w:rFonts w:hint="eastAsia" w:ascii="宋体" w:hAnsi="宋体" w:eastAsia="方正仿宋_GBK" w:cs="方正仿宋_GBK"/>
          <w:sz w:val="32"/>
          <w:lang w:val="en-US" w:eastAsia="zh-CN"/>
        </w:rPr>
        <w:t>原因为</w:t>
      </w:r>
      <w:r>
        <w:rPr>
          <w:rFonts w:hint="eastAsia" w:ascii="宋体" w:hAnsi="宋体" w:eastAsia="方正仿宋_GBK" w:cs="方正仿宋_GBK"/>
          <w:b w:val="0"/>
          <w:bCs w:val="0"/>
          <w:sz w:val="32"/>
          <w:szCs w:val="32"/>
          <w:lang w:val="en-US" w:eastAsia="zh-CN"/>
        </w:rPr>
        <w:t>2024年儿童福利院改造项目正在实施中，尚未完工和完成支付</w:t>
      </w:r>
      <w:r>
        <w:rPr>
          <w:rFonts w:hint="eastAsia" w:ascii="宋体" w:hAnsi="宋体" w:eastAsia="方正仿宋_GBK" w:cs="方正仿宋_GBK"/>
          <w:sz w:val="32"/>
          <w:lang w:val="en-US" w:eastAsia="zh-CN"/>
        </w:rPr>
        <w:t>。</w:t>
      </w:r>
      <w:r>
        <w:rPr>
          <w:rFonts w:hint="eastAsia" w:ascii="宋体" w:hAnsi="宋体" w:eastAsia="方正仿宋_GBK" w:cs="方正仿宋_GBK"/>
          <w:b w:val="0"/>
          <w:bCs w:val="0"/>
          <w:sz w:val="32"/>
          <w:szCs w:val="32"/>
          <w:lang w:val="en-US" w:eastAsia="zh-CN"/>
        </w:rPr>
        <w:t>其中：基本支出792.38万元，占比83.86%；项目支出152.5万元，占比16.14%。</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sz w:val="32"/>
          <w:szCs w:val="32"/>
          <w:lang w:val="en-US" w:eastAsia="zh-CN"/>
        </w:rPr>
        <w:t>结转结余情况。</w:t>
      </w:r>
      <w:r>
        <w:rPr>
          <w:rFonts w:hint="eastAsia" w:ascii="宋体" w:hAnsi="宋体" w:eastAsia="方正仿宋_GBK" w:cs="方正仿宋_GBK"/>
          <w:b w:val="0"/>
          <w:bCs w:val="0"/>
          <w:sz w:val="32"/>
          <w:szCs w:val="32"/>
          <w:lang w:val="en-US" w:eastAsia="zh-CN"/>
        </w:rPr>
        <w:t>2024年度年末结转和结余20.46万元，与2023年度相比增加3.03万元，主要原因是其他收入结转和结余增加</w:t>
      </w:r>
      <w:r>
        <w:rPr>
          <w:rFonts w:hint="eastAsia" w:ascii="宋体" w:hAnsi="宋体" w:eastAsia="方正仿宋_GBK" w:cs="方正仿宋_GBK"/>
          <w:kern w:val="0"/>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财政拨款收支总体情况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lang w:val="en-US" w:eastAsia="zh-CN"/>
        </w:rPr>
      </w:pPr>
      <w:r>
        <w:rPr>
          <w:rFonts w:hint="eastAsia" w:ascii="宋体" w:hAnsi="宋体" w:eastAsia="方正仿宋_GBK" w:cs="方正仿宋_GBK"/>
          <w:sz w:val="32"/>
          <w:lang w:val="en-US" w:eastAsia="zh-CN"/>
        </w:rPr>
        <w:t>2024年度财政拨款收入总计861.92万元，支出总计861.92万元。</w:t>
      </w:r>
      <w:r>
        <w:rPr>
          <w:rFonts w:hint="eastAsia" w:ascii="宋体" w:hAnsi="宋体" w:eastAsia="方正仿宋_GBK" w:cs="方正仿宋_GBK"/>
          <w:sz w:val="32"/>
        </w:rPr>
        <w:t>收支较上年</w:t>
      </w:r>
      <w:r>
        <w:rPr>
          <w:rFonts w:hint="eastAsia" w:ascii="宋体" w:hAnsi="宋体" w:eastAsia="方正仿宋_GBK" w:cs="方正仿宋_GBK"/>
          <w:sz w:val="32"/>
          <w:lang w:val="en-US" w:eastAsia="zh-CN"/>
        </w:rPr>
        <w:t>减少70.57</w:t>
      </w:r>
      <w:r>
        <w:rPr>
          <w:rFonts w:hint="eastAsia" w:ascii="宋体" w:hAnsi="宋体" w:eastAsia="方正仿宋_GBK" w:cs="方正仿宋_GBK"/>
          <w:sz w:val="32"/>
        </w:rPr>
        <w:t>万元</w:t>
      </w:r>
      <w:r>
        <w:rPr>
          <w:rFonts w:hint="eastAsia" w:ascii="宋体" w:hAnsi="宋体" w:eastAsia="方正仿宋_GBK" w:cs="方正仿宋_GBK"/>
          <w:sz w:val="32"/>
          <w:lang w:eastAsia="zh-CN"/>
        </w:rPr>
        <w:t>，</w:t>
      </w:r>
      <w:r>
        <w:rPr>
          <w:rFonts w:hint="eastAsia" w:ascii="宋体" w:hAnsi="宋体" w:eastAsia="方正仿宋_GBK" w:cs="方正仿宋_GBK"/>
          <w:sz w:val="32"/>
          <w:lang w:val="en-US" w:eastAsia="zh-CN"/>
        </w:rPr>
        <w:t>下降7.57%，</w:t>
      </w:r>
      <w:r>
        <w:rPr>
          <w:rFonts w:hint="eastAsia" w:ascii="宋体" w:hAnsi="宋体" w:eastAsia="方正仿宋_GBK" w:cs="方正仿宋_GBK"/>
          <w:sz w:val="32"/>
        </w:rPr>
        <w:t>主要原因</w:t>
      </w:r>
      <w:r>
        <w:rPr>
          <w:rFonts w:hint="eastAsia" w:ascii="宋体" w:hAnsi="宋体" w:eastAsia="方正仿宋_GBK" w:cs="方正仿宋_GBK"/>
          <w:sz w:val="32"/>
          <w:lang w:val="en-US" w:eastAsia="zh-CN"/>
        </w:rPr>
        <w:t>为</w:t>
      </w:r>
      <w:r>
        <w:rPr>
          <w:rFonts w:hint="eastAsia" w:ascii="宋体" w:hAnsi="宋体" w:eastAsia="方正仿宋_GBK" w:cs="方正仿宋_GBK"/>
          <w:b w:val="0"/>
          <w:bCs w:val="0"/>
          <w:sz w:val="32"/>
          <w:szCs w:val="32"/>
          <w:lang w:val="en-US" w:eastAsia="zh-CN"/>
        </w:rPr>
        <w:t>2024年儿童福利院改造项目正在实施中，尚未完工和完成支付</w:t>
      </w:r>
      <w:r>
        <w:rPr>
          <w:rFonts w:hint="eastAsia" w:ascii="宋体" w:hAnsi="宋体" w:eastAsia="方正仿宋_GBK" w:cs="方正仿宋_GBK"/>
          <w:sz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一般公共预算财政拨款收支总体情况</w:t>
      </w:r>
    </w:p>
    <w:p>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收入情况。</w:t>
      </w:r>
      <w:r>
        <w:rPr>
          <w:rFonts w:hint="eastAsia" w:ascii="宋体" w:hAnsi="宋体" w:eastAsia="方正仿宋_GBK" w:cs="方正仿宋_GBK"/>
          <w:color w:val="auto"/>
          <w:sz w:val="32"/>
        </w:rPr>
        <w:t>202</w:t>
      </w:r>
      <w:r>
        <w:rPr>
          <w:rFonts w:hint="eastAsia" w:ascii="宋体" w:hAnsi="宋体" w:eastAsia="方正仿宋_GBK" w:cs="方正仿宋_GBK"/>
          <w:color w:val="auto"/>
          <w:sz w:val="32"/>
          <w:lang w:val="en-US" w:eastAsia="zh-CN"/>
        </w:rPr>
        <w:t>4</w:t>
      </w:r>
      <w:r>
        <w:rPr>
          <w:rFonts w:hint="eastAsia" w:ascii="宋体" w:hAnsi="宋体" w:eastAsia="方正仿宋_GBK" w:cs="方正仿宋_GBK"/>
          <w:color w:val="auto"/>
          <w:sz w:val="32"/>
        </w:rPr>
        <w:t>年度一般公共预算财政拨款收入</w:t>
      </w:r>
      <w:r>
        <w:rPr>
          <w:rFonts w:hint="eastAsia" w:ascii="宋体" w:hAnsi="宋体" w:eastAsia="方正仿宋_GBK" w:cs="方正仿宋_GBK"/>
          <w:color w:val="auto"/>
          <w:sz w:val="32"/>
          <w:lang w:val="en-US" w:eastAsia="zh-CN"/>
        </w:rPr>
        <w:t>856.51</w:t>
      </w:r>
      <w:r>
        <w:rPr>
          <w:rFonts w:hint="eastAsia" w:ascii="宋体" w:hAnsi="宋体" w:eastAsia="方正仿宋_GBK" w:cs="方正仿宋_GBK"/>
          <w:color w:val="auto"/>
          <w:sz w:val="32"/>
        </w:rPr>
        <w:t>万元，较上年</w:t>
      </w:r>
      <w:r>
        <w:rPr>
          <w:rFonts w:hint="eastAsia" w:ascii="宋体" w:hAnsi="宋体" w:eastAsia="方正仿宋_GBK" w:cs="方正仿宋_GBK"/>
          <w:color w:val="auto"/>
          <w:sz w:val="32"/>
          <w:lang w:val="en-US" w:eastAsia="zh-CN"/>
        </w:rPr>
        <w:t>决算数减少8.92</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下降1.03</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w:t>
      </w:r>
      <w:r>
        <w:rPr>
          <w:rFonts w:hint="eastAsia" w:ascii="宋体" w:hAnsi="宋体" w:eastAsia="方正仿宋_GBK" w:cs="方正仿宋_GBK"/>
          <w:color w:val="auto"/>
          <w:sz w:val="32"/>
          <w:lang w:val="en-US" w:eastAsia="zh-CN"/>
        </w:rPr>
        <w:t>为人员公用经费减少。较年初预算数减少48.21万元，下降5.33%，主要原因是年中在职职工退休，相关人员经费减少；2024年8月集中供养孤残儿童移送重庆市儿童福利院，相关人员经费减少。</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p>
    <w:p>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支出情况。</w:t>
      </w:r>
      <w:r>
        <w:rPr>
          <w:rFonts w:hint="eastAsia" w:ascii="宋体" w:hAnsi="宋体" w:eastAsia="方正仿宋_GBK" w:cs="方正仿宋_GBK"/>
          <w:color w:val="auto"/>
          <w:sz w:val="32"/>
          <w:lang w:val="en-US" w:eastAsia="zh-CN"/>
        </w:rPr>
        <w:t>2024年度一般公共预算财政拨款支出856.51万元，</w:t>
      </w:r>
      <w:r>
        <w:rPr>
          <w:rFonts w:hint="eastAsia" w:ascii="宋体" w:hAnsi="宋体" w:eastAsia="方正仿宋_GBK" w:cs="方正仿宋_GBK"/>
          <w:color w:val="auto"/>
          <w:sz w:val="32"/>
        </w:rPr>
        <w:t>较上年决算数</w:t>
      </w:r>
      <w:r>
        <w:rPr>
          <w:rFonts w:hint="eastAsia" w:ascii="宋体" w:hAnsi="宋体" w:eastAsia="方正仿宋_GBK" w:cs="方正仿宋_GBK"/>
          <w:color w:val="auto"/>
          <w:sz w:val="32"/>
          <w:lang w:val="en-US" w:eastAsia="zh-CN"/>
        </w:rPr>
        <w:t>减少8.92</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下降1.03</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主要原因是</w:t>
      </w:r>
      <w:r>
        <w:rPr>
          <w:rFonts w:hint="eastAsia" w:ascii="宋体" w:hAnsi="宋体" w:eastAsia="方正仿宋_GBK" w:cs="方正仿宋_GBK"/>
          <w:color w:val="auto"/>
          <w:sz w:val="32"/>
          <w:lang w:val="en-US" w:eastAsia="zh-CN"/>
        </w:rPr>
        <w:t>人员公用经费减少。较年初预算数减少48.21万元，下降5.33%，主要原因是年中在职职工退休，相关人员经费减少；2024年8月集中供养儿童移送重庆市儿童福利院，相关人员经费减少。</w:t>
      </w:r>
    </w:p>
    <w:p>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color w:val="auto"/>
          <w:sz w:val="32"/>
          <w:lang w:val="en-US" w:eastAsia="zh-CN"/>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val="en-US" w:eastAsia="zh-CN"/>
        </w:rPr>
        <w:t>无增减变化。</w:t>
      </w:r>
    </w:p>
    <w:p>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0" w:leftChars="0" w:firstLine="643"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b/>
          <w:bCs/>
          <w:kern w:val="2"/>
          <w:sz w:val="32"/>
          <w:szCs w:val="22"/>
          <w:lang w:val="en-US" w:eastAsia="zh-CN" w:bidi="ar-SA"/>
        </w:rPr>
        <w:t>比较情况。</w:t>
      </w:r>
      <w:r>
        <w:rPr>
          <w:rFonts w:hint="eastAsia" w:ascii="宋体" w:hAnsi="宋体" w:eastAsia="方正仿宋_GBK" w:cs="方正仿宋_GBK"/>
          <w:color w:val="auto"/>
          <w:sz w:val="32"/>
          <w:lang w:val="en-US" w:eastAsia="zh-CN"/>
        </w:rPr>
        <w:t>本部门2024年度一般公共预算财政拨款支出主要用于以下几个方面：</w:t>
      </w:r>
    </w:p>
    <w:p>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firstLine="320" w:firstLineChars="1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教育支出0.80万元，占比0.09%，较年初预算数减少3.08万元，下降79.38%，主要原因是2024年党员未外出学习。</w:t>
      </w:r>
    </w:p>
    <w:p>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firstLine="320" w:firstLineChars="1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社会保障和就业支出779.88万元，占比91.05%，较年初预算数减少43.41万元，下降5.27%，主要原因是年中在职职工退休，相关人员经费减少；2024年8月集中供养儿童移送重庆市儿童福利院，相关人员经费减少。</w:t>
      </w:r>
    </w:p>
    <w:p>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firstLine="320" w:firstLineChars="1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卫生健康支出44.78万元，占比5.23%，较年初预算数减少1.73万元，下降3.72%，主要原因是年中在职职工退休，相关人员经费减少。</w:t>
      </w:r>
    </w:p>
    <w:p>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firstLine="320" w:firstLineChars="1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住房保障支出31.05万元，占比3.63%，较年初预算数无增减。</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一般公共预算财政拨款基本支出情况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一般公共预算财政拨款基本支出792.38万元。其中：人员经费751.19万元，主要用于工资福利支出以及对个人和家庭的补助，较上年决算数增加58.73万元，增长8.48%，主要原因是补缴2022-2023年养老保险和职业年金。公用经费41.19万元，主要用于维持单位的基本运行，较上年决算数减少50.54万元，减少55.1%，主要原因是人员公用经费、工会经费减少。</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万元，年末结转结余</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万元。本年收入</w:t>
      </w:r>
      <w:r>
        <w:rPr>
          <w:rFonts w:hint="eastAsia" w:ascii="方正仿宋_GBK" w:hAnsi="方正仿宋_GBK" w:eastAsia="方正仿宋_GBK" w:cs="方正仿宋_GBK"/>
          <w:sz w:val="32"/>
          <w:szCs w:val="32"/>
          <w:shd w:val="clear" w:color="auto" w:fill="FFFFFF"/>
          <w:lang w:val="en-US" w:eastAsia="zh-CN"/>
        </w:rPr>
        <w:t>5.41</w:t>
      </w:r>
      <w:r>
        <w:rPr>
          <w:rFonts w:ascii="方正仿宋_GBK" w:hAnsi="方正仿宋_GBK" w:eastAsia="方正仿宋_GBK" w:cs="方正仿宋_GBK"/>
          <w:sz w:val="32"/>
          <w:szCs w:val="32"/>
          <w:shd w:val="clear" w:color="auto" w:fill="FFFFFF"/>
        </w:rPr>
        <w:t>万元，与2023年度相</w:t>
      </w:r>
      <w:r>
        <w:rPr>
          <w:rFonts w:hint="eastAsia" w:ascii="方正仿宋_GBK" w:hAnsi="方正仿宋_GBK" w:eastAsia="方正仿宋_GBK" w:cs="方正仿宋_GBK"/>
          <w:sz w:val="32"/>
          <w:szCs w:val="32"/>
          <w:shd w:val="clear" w:color="auto" w:fill="FFFFFF"/>
          <w:lang w:val="en-US" w:eastAsia="zh-CN"/>
        </w:rPr>
        <w:t>比减少61.65万元</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方正仿宋_GBK"/>
          <w:b w:val="0"/>
          <w:bCs w:val="0"/>
          <w:sz w:val="32"/>
          <w:szCs w:val="32"/>
          <w:lang w:val="en-US" w:eastAsia="zh-CN"/>
        </w:rPr>
        <w:t>2024年儿童福利院改造项目正在实施中，尚未完工和完成支付</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eastAsia" w:ascii="方正仿宋_GBK" w:hAnsi="方正仿宋_GBK" w:eastAsia="方正仿宋_GBK" w:cs="方正仿宋_GBK"/>
          <w:sz w:val="32"/>
          <w:szCs w:val="32"/>
          <w:lang w:val="en-US" w:eastAsia="zh-CN"/>
        </w:rPr>
        <w:t>5.41</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val="en-US" w:eastAsia="zh-CN"/>
        </w:rPr>
        <w:t>减少61.65万元</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方正仿宋_GBK"/>
          <w:b w:val="0"/>
          <w:bCs w:val="0"/>
          <w:sz w:val="32"/>
          <w:szCs w:val="32"/>
          <w:lang w:val="en-US" w:eastAsia="zh-CN"/>
        </w:rPr>
        <w:t>2024年儿童福利院改造项目正在实施中，尚未完工和完成支付</w:t>
      </w:r>
      <w:r>
        <w:rPr>
          <w:rFonts w:ascii="方正仿宋_GBK" w:hAnsi="方正仿宋_GBK" w:eastAsia="方正仿宋_GBK" w:cs="方正仿宋_GBK"/>
          <w:color w:val="auto"/>
          <w:sz w:val="32"/>
          <w:szCs w:val="32"/>
          <w:shd w:val="clear" w:color="auto" w:fill="FFFFFF"/>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val="en-US" w:eastAsia="zh-CN"/>
        </w:rPr>
        <w:t>部门</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（一）“三公”经费支出总体情况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三公”经费支出共计2.6万元，较年初预算数减少3.9万元，下降60%，主要原因是严控三公经费支出，公务用车运行维护费减少。较上年支出数减少0.5万元，减少16.13%，主要原因是公务用车车况较好，公务用车运行维护费减少。</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（二）“三公”经费分项支出情况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default"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因公出国（境）费用0万元，费用支出较年初预算数无增减变动，较上年支出数无增减变动。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公务车购置费用0万元，费用支出较年初预算数无增减变动，较上年支出数无增减变动。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运行维护费2.33万元，主要用于机要文件交换、市内因公出行、接送服务对象等工作所需车辆的燃料费、维修维护费、过路费、保险费等。费用支出较年初预算数减少3.67万元，较上年支出数减少0.71万元，下降23.36%，主要原因是公务用车车况较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接待费0.26万元，主要用于上级部门对我院工作进行指导培训。费用支出较年初预算数减少0.24万元，较上年支出数增加0.2万元，增长333.33%，主要原因是集中供养孤残儿童移送期间，接待儿童福利院工作人员对我院儿童进行调研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（三）“三公”经费实物量情况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本部门因公出国（境）共计0个团组，0人；公务用车购置0辆，公务车保有量为2辆；国内公务接待3批次30人，其中：国内外事接待0批次，0人；国（境）外公务接待0批次，0人。人均接待费86.67元，车均购置费0万元，车均维护费1.17万元。</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pPr>
        <w:pStyle w:val="5"/>
        <w:keepNext w:val="0"/>
        <w:keepLines w:val="0"/>
        <w:pageBreakBefore w:val="0"/>
        <w:kinsoku/>
        <w:wordWrap/>
        <w:overflowPunct/>
        <w:topLinePunct w:val="0"/>
        <w:autoSpaceDN/>
        <w:bidi w:val="0"/>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sz w:val="32"/>
          <w:szCs w:val="32"/>
          <w:shd w:val="clear" w:color="auto" w:fill="FFFFFF"/>
          <w:lang w:val="en-US" w:eastAsia="zh-CN"/>
        </w:rPr>
        <w:t>2024</w:t>
      </w:r>
      <w:r>
        <w:rPr>
          <w:rFonts w:ascii="方正仿宋_GBK" w:hAnsi="方正仿宋_GBK" w:eastAsia="方正仿宋_GBK" w:cs="方正仿宋_GBK"/>
          <w:sz w:val="32"/>
          <w:szCs w:val="32"/>
          <w:shd w:val="clear" w:color="auto" w:fill="FFFFFF"/>
        </w:rPr>
        <w:t>年度会议费支出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val="en-US" w:eastAsia="zh-CN"/>
        </w:rPr>
        <w:t>无增减变动</w:t>
      </w:r>
      <w:r>
        <w:rPr>
          <w:rFonts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shd w:val="clear" w:color="auto" w:fill="FFFFFF"/>
          <w:lang w:val="en-US" w:eastAsia="zh-CN"/>
        </w:rPr>
        <w:t>0.8</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val="en-US" w:eastAsia="zh-CN"/>
        </w:rPr>
        <w:t>减少2.86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下降78.14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2024年党员未外出学习</w:t>
      </w:r>
      <w:r>
        <w:rPr>
          <w:rFonts w:ascii="方正仿宋_GBK" w:hAnsi="方正仿宋_GBK" w:eastAsia="方正仿宋_GBK" w:cs="方正仿宋_GBK"/>
          <w:sz w:val="32"/>
          <w:szCs w:val="32"/>
          <w:shd w:val="clear" w:color="auto" w:fill="FFFFFF"/>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pPr>
        <w:keepNext w:val="0"/>
        <w:keepLines w:val="0"/>
        <w:pageBreakBefore w:val="0"/>
        <w:kinsoku/>
        <w:wordWrap/>
        <w:overflowPunct/>
        <w:topLinePunct w:val="0"/>
        <w:autoSpaceDN/>
        <w:bidi w:val="0"/>
        <w:snapToGrid/>
        <w:spacing w:line="579" w:lineRule="exact"/>
        <w:ind w:firstLine="480" w:firstLineChars="150"/>
        <w:textAlignment w:val="auto"/>
        <w:rPr>
          <w:rFonts w:hint="eastAsia" w:ascii="宋体" w:hAnsi="宋体" w:eastAsia="方正仿宋_GBK" w:cs="方正仿宋_GBK"/>
          <w:color w:val="auto"/>
          <w:kern w:val="0"/>
          <w:sz w:val="32"/>
          <w:szCs w:val="32"/>
          <w:lang w:val="en-US" w:eastAsia="zh-CN"/>
        </w:rPr>
      </w:pPr>
      <w:r>
        <w:rPr>
          <w:rFonts w:hint="eastAsia" w:ascii="宋体" w:hAnsi="宋体" w:eastAsia="方正仿宋_GBK" w:cs="方正仿宋_GBK"/>
          <w:color w:val="auto"/>
          <w:kern w:val="0"/>
          <w:sz w:val="32"/>
          <w:szCs w:val="32"/>
        </w:rPr>
        <w:t>按照部门决算列报口径，我</w:t>
      </w:r>
      <w:r>
        <w:rPr>
          <w:rFonts w:hint="eastAsia" w:ascii="宋体" w:hAnsi="宋体" w:eastAsia="方正仿宋_GBK" w:cs="方正仿宋_GBK"/>
          <w:color w:val="auto"/>
          <w:kern w:val="0"/>
          <w:sz w:val="32"/>
          <w:szCs w:val="32"/>
          <w:lang w:val="en-US" w:eastAsia="zh-CN"/>
        </w:rPr>
        <w:t>部门</w:t>
      </w:r>
      <w:r>
        <w:rPr>
          <w:rFonts w:hint="eastAsia" w:ascii="宋体" w:hAnsi="宋体" w:eastAsia="方正仿宋_GBK" w:cs="方正仿宋_GBK"/>
          <w:color w:val="auto"/>
          <w:kern w:val="0"/>
          <w:sz w:val="32"/>
          <w:szCs w:val="32"/>
        </w:rPr>
        <w:t>不在机关运行经费统计范围之内</w:t>
      </w:r>
      <w:r>
        <w:rPr>
          <w:rFonts w:hint="eastAsia" w:ascii="宋体" w:hAnsi="宋体" w:eastAsia="方正仿宋_GBK" w:cs="方正仿宋_GBK"/>
          <w:color w:val="auto"/>
          <w:kern w:val="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rPr>
        <w:t>截至202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年12月31日，本部门共有车辆</w:t>
      </w:r>
      <w:r>
        <w:rPr>
          <w:rFonts w:hint="eastAsia" w:ascii="宋体" w:hAnsi="宋体" w:eastAsia="方正仿宋_GBK" w:cs="方正仿宋_GBK"/>
          <w:kern w:val="0"/>
          <w:sz w:val="32"/>
          <w:szCs w:val="32"/>
          <w:lang w:val="en-US" w:eastAsia="zh-CN"/>
        </w:rPr>
        <w:t>2</w:t>
      </w:r>
      <w:r>
        <w:rPr>
          <w:rFonts w:hint="eastAsia" w:ascii="宋体" w:hAnsi="宋体" w:eastAsia="方正仿宋_GBK" w:cs="方正仿宋_GBK"/>
          <w:kern w:val="0"/>
          <w:sz w:val="32"/>
          <w:szCs w:val="32"/>
        </w:rPr>
        <w:t>辆。其中：副部（省）级及以上领导用车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辆，主要</w:t>
      </w:r>
      <w:r>
        <w:rPr>
          <w:rFonts w:hint="eastAsia" w:ascii="宋体" w:hAnsi="宋体" w:eastAsia="方正仿宋_GBK" w:cs="方正仿宋_GBK"/>
          <w:kern w:val="0"/>
          <w:sz w:val="32"/>
          <w:szCs w:val="32"/>
          <w:lang w:val="en-US" w:eastAsia="zh-CN"/>
        </w:rPr>
        <w:t>负责人</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辆，机要通信用车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辆，应急保障用车</w:t>
      </w:r>
      <w:r>
        <w:rPr>
          <w:rFonts w:hint="eastAsia" w:ascii="宋体" w:hAnsi="宋体" w:eastAsia="方正仿宋_GBK" w:cs="方正仿宋_GBK"/>
          <w:kern w:val="0"/>
          <w:sz w:val="32"/>
          <w:szCs w:val="32"/>
          <w:lang w:val="en-US" w:eastAsia="zh-CN"/>
        </w:rPr>
        <w:t>2</w:t>
      </w:r>
      <w:r>
        <w:rPr>
          <w:rFonts w:hint="eastAsia" w:ascii="宋体" w:hAnsi="宋体" w:eastAsia="方正仿宋_GBK" w:cs="方正仿宋_GBK"/>
          <w:kern w:val="0"/>
          <w:sz w:val="32"/>
          <w:szCs w:val="32"/>
        </w:rPr>
        <w:t>辆，执法执勤用车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辆，特种专业技术用车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辆，离退休干部</w:t>
      </w:r>
      <w:r>
        <w:rPr>
          <w:rFonts w:hint="eastAsia" w:ascii="宋体" w:hAnsi="宋体" w:eastAsia="方正仿宋_GBK" w:cs="方正仿宋_GBK"/>
          <w:kern w:val="0"/>
          <w:sz w:val="32"/>
          <w:szCs w:val="32"/>
          <w:lang w:val="en-US" w:eastAsia="zh-CN"/>
        </w:rPr>
        <w:t>服务</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辆，其他用车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辆。单价100万元（含）以上设备</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不含车辆</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台（套）。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kern w:val="0"/>
          <w:sz w:val="32"/>
          <w:szCs w:val="32"/>
        </w:rPr>
        <w:t>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年度本部门政府采购支出总额</w:t>
      </w:r>
      <w:r>
        <w:rPr>
          <w:rFonts w:hint="eastAsia" w:ascii="宋体" w:hAnsi="宋体" w:eastAsia="方正仿宋_GBK" w:cs="方正仿宋_GBK"/>
          <w:kern w:val="0"/>
          <w:sz w:val="32"/>
          <w:szCs w:val="32"/>
          <w:lang w:val="en-US" w:eastAsia="zh-CN"/>
        </w:rPr>
        <w:t>5.54</w:t>
      </w:r>
      <w:r>
        <w:rPr>
          <w:rFonts w:hint="eastAsia" w:ascii="宋体" w:hAnsi="宋体" w:eastAsia="方正仿宋_GBK" w:cs="方正仿宋_GBK"/>
          <w:kern w:val="0"/>
          <w:sz w:val="32"/>
          <w:szCs w:val="32"/>
        </w:rPr>
        <w:t>万元，其中：政府采购货物支出</w:t>
      </w:r>
      <w:r>
        <w:rPr>
          <w:rFonts w:hint="eastAsia" w:ascii="宋体" w:hAnsi="宋体" w:eastAsia="方正仿宋_GBK" w:cs="方正仿宋_GBK"/>
          <w:kern w:val="0"/>
          <w:sz w:val="32"/>
          <w:szCs w:val="32"/>
          <w:lang w:val="en-US" w:eastAsia="zh-CN"/>
        </w:rPr>
        <w:t>5.54</w:t>
      </w:r>
      <w:r>
        <w:rPr>
          <w:rFonts w:hint="eastAsia" w:ascii="宋体" w:hAnsi="宋体" w:eastAsia="方正仿宋_GBK" w:cs="方正仿宋_GBK"/>
          <w:kern w:val="0"/>
          <w:sz w:val="32"/>
          <w:szCs w:val="32"/>
        </w:rPr>
        <w:t>万元、政府采购工程支出</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万元、政府采购服务支出</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万元。授予中小企业合同金额</w:t>
      </w:r>
      <w:r>
        <w:rPr>
          <w:rFonts w:hint="eastAsia" w:ascii="宋体" w:hAnsi="宋体" w:eastAsia="方正仿宋_GBK" w:cs="方正仿宋_GBK"/>
          <w:kern w:val="0"/>
          <w:sz w:val="32"/>
          <w:szCs w:val="32"/>
          <w:lang w:val="en-US" w:eastAsia="zh-CN"/>
        </w:rPr>
        <w:t>5.54</w:t>
      </w:r>
      <w:r>
        <w:rPr>
          <w:rFonts w:hint="eastAsia" w:ascii="宋体" w:hAnsi="宋体" w:eastAsia="方正仿宋_GBK" w:cs="方正仿宋_GBK"/>
          <w:kern w:val="0"/>
          <w:sz w:val="32"/>
          <w:szCs w:val="32"/>
        </w:rPr>
        <w:t>万元，占政府采购支出总额的</w:t>
      </w:r>
      <w:r>
        <w:rPr>
          <w:rFonts w:hint="eastAsia" w:ascii="宋体" w:hAnsi="宋体" w:eastAsia="方正仿宋_GBK" w:cs="方正仿宋_GBK"/>
          <w:kern w:val="0"/>
          <w:sz w:val="32"/>
          <w:szCs w:val="32"/>
          <w:lang w:val="en-US" w:eastAsia="zh-CN"/>
        </w:rPr>
        <w:t>100</w:t>
      </w:r>
      <w:r>
        <w:rPr>
          <w:rFonts w:hint="eastAsia" w:ascii="宋体" w:hAnsi="宋体" w:eastAsia="方正仿宋_GBK" w:cs="方正仿宋_GBK"/>
          <w:kern w:val="0"/>
          <w:sz w:val="32"/>
          <w:szCs w:val="32"/>
        </w:rPr>
        <w:t>%，其中：授予小微企业合同金额</w:t>
      </w:r>
      <w:r>
        <w:rPr>
          <w:rFonts w:hint="eastAsia" w:ascii="宋体" w:hAnsi="宋体" w:eastAsia="方正仿宋_GBK" w:cs="方正仿宋_GBK"/>
          <w:kern w:val="0"/>
          <w:sz w:val="32"/>
          <w:szCs w:val="32"/>
          <w:lang w:val="en-US" w:eastAsia="zh-CN"/>
        </w:rPr>
        <w:t>5.54</w:t>
      </w:r>
      <w:r>
        <w:rPr>
          <w:rFonts w:hint="eastAsia" w:ascii="宋体" w:hAnsi="宋体" w:eastAsia="方正仿宋_GBK" w:cs="方正仿宋_GBK"/>
          <w:kern w:val="0"/>
          <w:sz w:val="32"/>
          <w:szCs w:val="32"/>
        </w:rPr>
        <w:t>万元，占政府采购支出总额的</w:t>
      </w:r>
      <w:r>
        <w:rPr>
          <w:rFonts w:hint="eastAsia" w:ascii="宋体" w:hAnsi="宋体" w:eastAsia="方正仿宋_GBK" w:cs="方正仿宋_GBK"/>
          <w:kern w:val="0"/>
          <w:sz w:val="32"/>
          <w:szCs w:val="32"/>
          <w:lang w:val="en-US" w:eastAsia="zh-CN"/>
        </w:rPr>
        <w:t>100</w:t>
      </w:r>
      <w:r>
        <w:rPr>
          <w:rFonts w:hint="eastAsia" w:ascii="宋体" w:hAnsi="宋体" w:eastAsia="方正仿宋_GBK" w:cs="方正仿宋_GBK"/>
          <w:kern w:val="0"/>
          <w:sz w:val="32"/>
          <w:szCs w:val="32"/>
        </w:rPr>
        <w:t>%。</w:t>
      </w:r>
      <w:r>
        <w:rPr>
          <w:rFonts w:hint="eastAsia" w:ascii="宋体" w:hAnsi="宋体" w:eastAsia="方正仿宋_GBK" w:cs="方正仿宋_GBK"/>
          <w:color w:val="auto"/>
          <w:sz w:val="32"/>
          <w:lang w:val="en-US" w:eastAsia="zh-CN"/>
        </w:rPr>
        <w:t>主要用于采购办公用品和家电。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outlineLvl w:val="0"/>
        <w:rPr>
          <w:rFonts w:hint="eastAsia" w:ascii="宋体" w:hAnsi="宋体" w:eastAsia="方正黑体_GBK" w:cs="方正黑体_GBK"/>
          <w:b w:val="0"/>
          <w:bCs/>
          <w:sz w:val="32"/>
          <w:szCs w:val="32"/>
          <w:lang w:eastAsia="zh-CN"/>
        </w:rPr>
      </w:pPr>
      <w:r>
        <w:rPr>
          <w:rStyle w:val="8"/>
          <w:rFonts w:hint="eastAsia" w:ascii="宋体" w:hAnsi="宋体" w:eastAsia="方正黑体_GBK" w:cs="方正黑体_GBK"/>
          <w:b w:val="0"/>
          <w:bCs/>
          <w:sz w:val="32"/>
          <w:szCs w:val="32"/>
          <w:shd w:val="clear" w:color="auto" w:fill="FFFFFF"/>
        </w:rPr>
        <w:t>五、预算绩效管理情况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（一）预算绩效管理工作开展情况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rPr>
          <w:rFonts w:hint="eastAsia" w:ascii="宋体" w:hAnsi="宋体" w:eastAsia="方正仿宋_GBK" w:cs="方正仿宋_GBK"/>
          <w:lang w:eastAsia="zh-CN"/>
        </w:rPr>
      </w:pPr>
      <w:r>
        <w:rPr>
          <w:rFonts w:hint="eastAsia" w:ascii="宋体" w:hAnsi="宋体" w:eastAsia="方正仿宋_GBK" w:cs="方正仿宋_GBK"/>
          <w:kern w:val="0"/>
          <w:sz w:val="32"/>
          <w:szCs w:val="32"/>
        </w:rPr>
        <w:t>根据预算绩效管理要求，我</w:t>
      </w:r>
      <w:r>
        <w:rPr>
          <w:rFonts w:hint="eastAsia" w:ascii="宋体" w:hAnsi="宋体" w:eastAsia="方正仿宋_GBK" w:cs="方正仿宋_GBK"/>
          <w:kern w:val="0"/>
          <w:sz w:val="32"/>
          <w:szCs w:val="32"/>
          <w:lang w:val="en-US" w:eastAsia="zh-CN"/>
        </w:rPr>
        <w:t>部门</w:t>
      </w:r>
      <w:r>
        <w:rPr>
          <w:rFonts w:hint="eastAsia" w:ascii="宋体" w:hAnsi="宋体" w:eastAsia="方正仿宋_GBK" w:cs="方正仿宋_GBK"/>
          <w:kern w:val="0"/>
          <w:sz w:val="32"/>
          <w:szCs w:val="32"/>
        </w:rPr>
        <w:t>对</w:t>
      </w:r>
      <w:r>
        <w:rPr>
          <w:rFonts w:hint="eastAsia" w:ascii="宋体" w:hAnsi="宋体" w:eastAsia="方正仿宋_GBK" w:cs="方正仿宋_GBK"/>
          <w:kern w:val="0"/>
          <w:sz w:val="32"/>
          <w:szCs w:val="32"/>
          <w:lang w:val="en-US" w:eastAsia="zh-CN"/>
        </w:rPr>
        <w:t>部门整体和7</w:t>
      </w:r>
      <w:r>
        <w:rPr>
          <w:rFonts w:hint="eastAsia" w:ascii="宋体" w:hAnsi="宋体" w:eastAsia="方正仿宋_GBK" w:cs="方正仿宋_GBK"/>
          <w:kern w:val="0"/>
          <w:sz w:val="32"/>
          <w:szCs w:val="32"/>
        </w:rPr>
        <w:t>个项目开展了绩效自评，其中，以填报目标自评表形式开展自评</w:t>
      </w:r>
      <w:r>
        <w:rPr>
          <w:rFonts w:hint="eastAsia" w:ascii="宋体" w:hAnsi="宋体" w:eastAsia="方正仿宋_GBK" w:cs="方正仿宋_GBK"/>
          <w:kern w:val="0"/>
          <w:sz w:val="32"/>
          <w:szCs w:val="32"/>
          <w:lang w:val="en-US" w:eastAsia="zh-CN"/>
        </w:rPr>
        <w:t>7</w:t>
      </w:r>
      <w:r>
        <w:rPr>
          <w:rFonts w:hint="eastAsia" w:ascii="宋体" w:hAnsi="宋体" w:eastAsia="方正仿宋_GBK" w:cs="方正仿宋_GBK"/>
          <w:kern w:val="0"/>
          <w:sz w:val="32"/>
          <w:szCs w:val="32"/>
        </w:rPr>
        <w:t>项，涉及资金</w:t>
      </w:r>
      <w:r>
        <w:rPr>
          <w:rFonts w:hint="eastAsia" w:ascii="宋体" w:hAnsi="宋体" w:eastAsia="方正仿宋_GBK" w:cs="方正仿宋_GBK"/>
          <w:kern w:val="0"/>
          <w:sz w:val="32"/>
          <w:szCs w:val="32"/>
          <w:lang w:val="en-US" w:eastAsia="zh-CN"/>
        </w:rPr>
        <w:t>69.54</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（二）绩效自评结果</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3" w:firstLineChars="200"/>
        <w:jc w:val="left"/>
        <w:textAlignment w:val="auto"/>
        <w:rPr>
          <w:rFonts w:hint="eastAsia" w:ascii="宋体" w:hAnsi="宋体" w:eastAsia="方正仿宋_GBK" w:cs="方正仿宋_GBK"/>
          <w:color w:val="000000"/>
          <w:kern w:val="0"/>
          <w:sz w:val="36"/>
          <w:szCs w:val="36"/>
          <w:lang w:val="en-US" w:eastAsia="zh-CN"/>
        </w:rPr>
      </w:pPr>
      <w:r>
        <w:rPr>
          <w:rFonts w:hint="eastAsia" w:ascii="宋体" w:hAnsi="宋体" w:eastAsia="方正仿宋_GBK" w:cs="方正仿宋_GBK"/>
          <w:b/>
          <w:bCs/>
          <w:color w:val="auto"/>
          <w:sz w:val="32"/>
          <w:lang w:val="en-US" w:eastAsia="zh-CN"/>
        </w:rPr>
        <w:t>1. 绩效目标自评表</w:t>
      </w: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rPr>
      </w:pPr>
      <w:r>
        <w:rPr>
          <w:rFonts w:hint="eastAsia" w:ascii="方正黑体_GBK" w:hAnsi="方正黑体_GBK" w:eastAsia="方正黑体_GBK" w:cs="方正黑体_GBK"/>
          <w:b w:val="0"/>
          <w:bCs w:val="0"/>
          <w:color w:val="000000"/>
          <w:kern w:val="0"/>
          <w:sz w:val="36"/>
          <w:szCs w:val="36"/>
          <w:lang w:val="en-US" w:eastAsia="zh-CN"/>
        </w:rPr>
        <w:t>2024年度部门整体</w:t>
      </w:r>
      <w:r>
        <w:rPr>
          <w:rFonts w:hint="eastAsia" w:ascii="方正黑体_GBK" w:hAnsi="方正黑体_GBK" w:eastAsia="方正黑体_GBK" w:cs="方正黑体_GBK"/>
          <w:b w:val="0"/>
          <w:bCs w:val="0"/>
          <w:color w:val="000000"/>
          <w:kern w:val="0"/>
          <w:sz w:val="36"/>
          <w:szCs w:val="36"/>
        </w:rPr>
        <w:t>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931"/>
        <w:gridCol w:w="690"/>
        <w:gridCol w:w="645"/>
        <w:gridCol w:w="630"/>
        <w:gridCol w:w="495"/>
        <w:gridCol w:w="795"/>
        <w:gridCol w:w="930"/>
        <w:gridCol w:w="1050"/>
        <w:gridCol w:w="1095"/>
        <w:gridCol w:w="855"/>
        <w:gridCol w:w="277"/>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项目</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名称</w:t>
            </w:r>
          </w:p>
        </w:tc>
        <w:tc>
          <w:tcPr>
            <w:tcW w:w="4186"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重庆市江津区社会福利院整体自评</w:t>
            </w:r>
          </w:p>
        </w:tc>
        <w:tc>
          <w:tcPr>
            <w:tcW w:w="9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自评总分（分）</w:t>
            </w:r>
          </w:p>
        </w:tc>
        <w:tc>
          <w:tcPr>
            <w:tcW w:w="4169"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lang w:val="en-US" w:eastAsia="zh-CN"/>
              </w:rPr>
              <w:t>项目</w:t>
            </w:r>
            <w:r>
              <w:rPr>
                <w:rFonts w:hint="eastAsia" w:ascii="宋体" w:hAnsi="宋体" w:eastAsia="方正仿宋_GBK" w:cs="方正仿宋_GBK"/>
                <w:color w:val="000000"/>
                <w:kern w:val="0"/>
                <w:sz w:val="21"/>
                <w:szCs w:val="21"/>
              </w:rPr>
              <w:t>主管部门</w:t>
            </w:r>
          </w:p>
        </w:tc>
        <w:tc>
          <w:tcPr>
            <w:tcW w:w="162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309-重庆市江津区社会福利院</w:t>
            </w:r>
          </w:p>
        </w:tc>
        <w:tc>
          <w:tcPr>
            <w:tcW w:w="127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财政归口科室</w:t>
            </w:r>
          </w:p>
        </w:tc>
        <w:tc>
          <w:tcPr>
            <w:tcW w:w="129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003-社会保障科</w:t>
            </w:r>
          </w:p>
        </w:tc>
        <w:tc>
          <w:tcPr>
            <w:tcW w:w="9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部门</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联系人</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李洁</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联系电话</w:t>
            </w:r>
          </w:p>
        </w:tc>
        <w:tc>
          <w:tcPr>
            <w:tcW w:w="2024"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47853081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项目资金（万元）</w:t>
            </w:r>
          </w:p>
        </w:tc>
        <w:tc>
          <w:tcPr>
            <w:tcW w:w="1621" w:type="dxa"/>
            <w:gridSpan w:val="2"/>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年度总金额</w:t>
            </w:r>
          </w:p>
        </w:tc>
        <w:tc>
          <w:tcPr>
            <w:tcW w:w="127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预算数</w:t>
            </w:r>
          </w:p>
        </w:tc>
        <w:tc>
          <w:tcPr>
            <w:tcW w:w="129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全年（调整）预算数</w:t>
            </w:r>
          </w:p>
        </w:tc>
        <w:tc>
          <w:tcPr>
            <w:tcW w:w="198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全年执行数</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执行率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8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执行率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权重</w:t>
            </w:r>
          </w:p>
        </w:tc>
        <w:tc>
          <w:tcPr>
            <w:tcW w:w="116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执行率</w:t>
            </w:r>
            <w:r>
              <w:rPr>
                <w:rFonts w:hint="eastAsia" w:ascii="宋体" w:hAnsi="宋体" w:eastAsia="方正仿宋_GBK" w:cs="方正仿宋_GBK"/>
                <w:color w:val="000000"/>
                <w:kern w:val="0"/>
                <w:sz w:val="21"/>
                <w:szCs w:val="21"/>
                <w:lang w:val="en-US" w:eastAsia="zh-CN"/>
              </w:rPr>
              <w:t xml:space="preserve">  </w:t>
            </w:r>
            <w:r>
              <w:rPr>
                <w:rFonts w:hint="eastAsia" w:ascii="宋体" w:hAnsi="宋体" w:eastAsia="方正仿宋_GBK" w:cs="方正仿宋_GBK"/>
                <w:color w:val="000000"/>
                <w:kern w:val="0"/>
                <w:sz w:val="21"/>
                <w:szCs w:val="21"/>
              </w:rPr>
              <w:t>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c>
          <w:tcPr>
            <w:tcW w:w="1621"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c>
          <w:tcPr>
            <w:tcW w:w="127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11047224.7</w:t>
            </w:r>
          </w:p>
        </w:tc>
        <w:tc>
          <w:tcPr>
            <w:tcW w:w="129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8619176.6</w:t>
            </w:r>
          </w:p>
        </w:tc>
        <w:tc>
          <w:tcPr>
            <w:tcW w:w="198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8619176.6</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c>
          <w:tcPr>
            <w:tcW w:w="8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kern w:val="0"/>
                <w:sz w:val="21"/>
                <w:szCs w:val="21"/>
              </w:rPr>
            </w:pPr>
          </w:p>
        </w:tc>
        <w:tc>
          <w:tcPr>
            <w:tcW w:w="116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c>
          <w:tcPr>
            <w:tcW w:w="162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其中：</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财政拨款</w:t>
            </w:r>
          </w:p>
        </w:tc>
        <w:tc>
          <w:tcPr>
            <w:tcW w:w="127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11047224.7</w:t>
            </w:r>
          </w:p>
        </w:tc>
        <w:tc>
          <w:tcPr>
            <w:tcW w:w="129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8619176.6</w:t>
            </w:r>
          </w:p>
        </w:tc>
        <w:tc>
          <w:tcPr>
            <w:tcW w:w="198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8619176.6</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8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w:t>
            </w:r>
          </w:p>
        </w:tc>
        <w:tc>
          <w:tcPr>
            <w:tcW w:w="116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jc w:val="center"/>
        </w:trPr>
        <w:tc>
          <w:tcPr>
            <w:tcW w:w="84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当年绩效目标</w:t>
            </w:r>
          </w:p>
        </w:tc>
        <w:tc>
          <w:tcPr>
            <w:tcW w:w="3391"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年初绩效目标</w:t>
            </w:r>
          </w:p>
        </w:tc>
        <w:tc>
          <w:tcPr>
            <w:tcW w:w="2775"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全年（调整）绩效目标</w:t>
            </w:r>
          </w:p>
        </w:tc>
        <w:tc>
          <w:tcPr>
            <w:tcW w:w="3119"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c>
          <w:tcPr>
            <w:tcW w:w="3391"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1、保障在院集中供养儿童生活费、医疗费、教育费、日杂等支出，让其生活有保障，生病能送医，日常有娱乐，教育有保障，健康幸福的成长；</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2、保障集中供养孤儿一年四季有干净、整洁、适宜的衣物更换，有足够的御寒棉被和被套，满足基本生活物资需求；保障其开心健康生活，改善其生活质量，保障社会安定和谐。</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3、加强儿童福利机构的托底保障功能，优先保障政府集中供养儿童日常养护需求，保障日常水电气宽带等正常供应、儿童区域设施设备维修（护）、更新等，提升儿童福利机构服务质量，促进儿童身心健康发展。</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4、保障单位正常运转及长赡人员廖桂清基本生活。</w:t>
            </w:r>
          </w:p>
        </w:tc>
        <w:tc>
          <w:tcPr>
            <w:tcW w:w="2775"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1、保障在院集中供养儿童生活费、医疗费、教育费、日杂等支出，让其生活有保障，生病能送医，日常有娱乐，教育有保障，健康幸福的成长；</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2、保障集中供养孤儿一年四季有干净、整洁、适宜的衣物更换，有足够的御寒棉被和被套，满足基本生活物资需求；保障其开心健康生活，改善其生活质量，保障社会安定和谐。</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3、加强儿童福利机构的托底保障功能，优先保障政府集中供养儿童日常养护需求，保障日常水电气宽带等正常供应、儿童区域设施设备维修（护）、更新等，提升儿童福利机构服务质量，促进儿童身心健康发展。</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4、保障单位正常运转及长赡人员廖桂清基本生活。</w:t>
            </w:r>
          </w:p>
        </w:tc>
        <w:tc>
          <w:tcPr>
            <w:tcW w:w="3119"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全1、保障在院集中供养儿童生活费、医疗费、教育费、日杂等支出，让其生活有保障，生病能送医，日常有娱乐，教育有保障，健康幸福的成长；</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2、保障集中供养孤儿一年四季有干净、整洁、适宜的衣物更换，有足够的御寒棉被和被套，满足基本生活物资需求；保障其开心健康生活，改善其生活质量，保障社会安定和谐。</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3、加强儿童福利机构的托底保障功能，优先保障政府集中供养儿童日常养护需求，保障日常水电气宽带等正常供应、儿童区域设施设备维修（护）、更新等，提升儿童福利机构服务质量，促进儿童身心健康发展。</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4、保障单位正常运转及长赡人员廖桂清基本生活。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绩效指标</w:t>
            </w:r>
          </w:p>
        </w:tc>
        <w:tc>
          <w:tcPr>
            <w:tcW w:w="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名称</w:t>
            </w:r>
          </w:p>
        </w:tc>
        <w:tc>
          <w:tcPr>
            <w:tcW w:w="6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计量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单位</w:t>
            </w:r>
          </w:p>
        </w:tc>
        <w:tc>
          <w:tcPr>
            <w:tcW w:w="6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性质</w:t>
            </w:r>
          </w:p>
        </w:tc>
        <w:tc>
          <w:tcPr>
            <w:tcW w:w="112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值</w:t>
            </w:r>
          </w:p>
        </w:tc>
        <w:tc>
          <w:tcPr>
            <w:tcW w:w="7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完成值</w:t>
            </w:r>
          </w:p>
        </w:tc>
        <w:tc>
          <w:tcPr>
            <w:tcW w:w="9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偏离度（%）</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得分系数（%）</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指标权重</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（分）</w:t>
            </w:r>
          </w:p>
        </w:tc>
        <w:tc>
          <w:tcPr>
            <w:tcW w:w="1132"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指标得分</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（分）</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方正仿宋_GBK" w:cs="方正仿宋_GBK"/>
                <w:color w:val="000000"/>
                <w:kern w:val="0"/>
                <w:sz w:val="21"/>
                <w:szCs w:val="21"/>
              </w:rPr>
            </w:pPr>
          </w:p>
        </w:tc>
        <w:tc>
          <w:tcPr>
            <w:tcW w:w="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补助到位率</w:t>
            </w:r>
          </w:p>
        </w:tc>
        <w:tc>
          <w:tcPr>
            <w:tcW w:w="6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6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112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100</w:t>
            </w:r>
          </w:p>
        </w:tc>
        <w:tc>
          <w:tcPr>
            <w:tcW w:w="7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9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eastAsia="zh-CN"/>
              </w:rPr>
            </w:pPr>
            <w:r>
              <w:rPr>
                <w:rFonts w:hint="eastAsia" w:ascii="宋体" w:hAnsi="宋体" w:eastAsia="方正仿宋_GBK" w:cs="方正仿宋_GBK"/>
                <w:color w:val="000000"/>
                <w:kern w:val="0"/>
                <w:sz w:val="21"/>
                <w:szCs w:val="21"/>
                <w:lang w:val="en-US" w:eastAsia="zh-CN"/>
              </w:rPr>
              <w:t>0</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20</w:t>
            </w:r>
          </w:p>
        </w:tc>
        <w:tc>
          <w:tcPr>
            <w:tcW w:w="1132"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rPr>
            </w:pPr>
            <w:r>
              <w:rPr>
                <w:rFonts w:hint="eastAsia" w:ascii="宋体" w:hAnsi="宋体" w:eastAsia="方正仿宋_GBK" w:cs="方正仿宋_GBK"/>
                <w:color w:val="000000"/>
                <w:kern w:val="0"/>
                <w:sz w:val="21"/>
                <w:szCs w:val="21"/>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0"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sz w:val="21"/>
                <w:szCs w:val="21"/>
              </w:rPr>
            </w:pPr>
          </w:p>
        </w:tc>
        <w:tc>
          <w:tcPr>
            <w:tcW w:w="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部门预决算公开情况</w:t>
            </w:r>
          </w:p>
        </w:tc>
        <w:tc>
          <w:tcPr>
            <w:tcW w:w="6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c>
          <w:tcPr>
            <w:tcW w:w="6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定性</w:t>
            </w:r>
          </w:p>
        </w:tc>
        <w:tc>
          <w:tcPr>
            <w:tcW w:w="112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以内容完整性、细化程度、及时性及真实性进行评价，存在一类问题扣2.5分，无问题得满分。</w:t>
            </w:r>
          </w:p>
        </w:tc>
        <w:tc>
          <w:tcPr>
            <w:tcW w:w="7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w:t>
            </w:r>
          </w:p>
        </w:tc>
        <w:tc>
          <w:tcPr>
            <w:tcW w:w="9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eastAsia="zh-CN"/>
              </w:rPr>
            </w:pPr>
            <w:r>
              <w:rPr>
                <w:rFonts w:hint="eastAsia" w:ascii="宋体" w:hAnsi="宋体" w:eastAsia="方正仿宋_GBK" w:cs="方正仿宋_GBK"/>
                <w:color w:val="000000"/>
                <w:kern w:val="0"/>
                <w:sz w:val="21"/>
                <w:szCs w:val="21"/>
                <w:lang w:val="en-US" w:eastAsia="zh-CN"/>
              </w:rPr>
              <w:t>0</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10</w:t>
            </w:r>
          </w:p>
        </w:tc>
        <w:tc>
          <w:tcPr>
            <w:tcW w:w="1132"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rPr>
            </w:pPr>
            <w:r>
              <w:rPr>
                <w:rFonts w:hint="eastAsia" w:ascii="宋体" w:hAnsi="宋体" w:eastAsia="方正仿宋_GBK" w:cs="方正仿宋_GBK"/>
                <w:color w:val="000000"/>
                <w:kern w:val="0"/>
                <w:sz w:val="21"/>
                <w:szCs w:val="21"/>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方正仿宋_GBK" w:cs="方正仿宋_GBK"/>
                <w:color w:val="000000"/>
                <w:kern w:val="0"/>
                <w:sz w:val="21"/>
                <w:szCs w:val="21"/>
              </w:rPr>
            </w:pPr>
          </w:p>
        </w:tc>
        <w:tc>
          <w:tcPr>
            <w:tcW w:w="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问题处理及时率</w:t>
            </w:r>
          </w:p>
        </w:tc>
        <w:tc>
          <w:tcPr>
            <w:tcW w:w="6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6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112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rPr>
              <w:t>9</w:t>
            </w:r>
            <w:r>
              <w:rPr>
                <w:rFonts w:hint="eastAsia" w:ascii="宋体" w:hAnsi="宋体" w:eastAsia="方正仿宋_GBK" w:cs="方正仿宋_GBK"/>
                <w:color w:val="000000"/>
                <w:kern w:val="0"/>
                <w:sz w:val="21"/>
                <w:szCs w:val="21"/>
                <w:lang w:val="en-US" w:eastAsia="zh-CN"/>
              </w:rPr>
              <w:t>0</w:t>
            </w:r>
          </w:p>
        </w:tc>
        <w:tc>
          <w:tcPr>
            <w:tcW w:w="7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95</w:t>
            </w:r>
          </w:p>
        </w:tc>
        <w:tc>
          <w:tcPr>
            <w:tcW w:w="9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5.</w:t>
            </w:r>
            <w:r>
              <w:rPr>
                <w:rFonts w:hint="eastAsia" w:ascii="宋体" w:hAnsi="宋体" w:eastAsia="方正仿宋_GBK" w:cs="方正仿宋_GBK"/>
                <w:color w:val="000000"/>
                <w:kern w:val="0"/>
                <w:sz w:val="21"/>
                <w:szCs w:val="21"/>
                <w:lang w:val="en-US" w:eastAsia="zh-CN"/>
              </w:rPr>
              <w:t>5</w:t>
            </w:r>
            <w:r>
              <w:rPr>
                <w:rFonts w:hint="eastAsia" w:ascii="宋体" w:hAnsi="宋体" w:eastAsia="方正仿宋_GBK" w:cs="方正仿宋_GBK"/>
                <w:color w:val="000000"/>
                <w:kern w:val="0"/>
                <w:sz w:val="21"/>
                <w:szCs w:val="21"/>
              </w:rPr>
              <w:t>6</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20</w:t>
            </w:r>
          </w:p>
        </w:tc>
        <w:tc>
          <w:tcPr>
            <w:tcW w:w="1132"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方正仿宋_GBK" w:cs="方正仿宋_GBK"/>
                <w:color w:val="000000"/>
                <w:kern w:val="0"/>
                <w:sz w:val="21"/>
                <w:szCs w:val="21"/>
              </w:rPr>
            </w:pPr>
          </w:p>
        </w:tc>
        <w:tc>
          <w:tcPr>
            <w:tcW w:w="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直接受益人数</w:t>
            </w:r>
          </w:p>
        </w:tc>
        <w:tc>
          <w:tcPr>
            <w:tcW w:w="6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eastAsia="zh-CN"/>
              </w:rPr>
            </w:pPr>
            <w:r>
              <w:rPr>
                <w:rFonts w:hint="eastAsia" w:ascii="宋体" w:hAnsi="宋体" w:eastAsia="方正仿宋_GBK" w:cs="方正仿宋_GBK"/>
                <w:color w:val="000000"/>
                <w:kern w:val="0"/>
                <w:sz w:val="21"/>
                <w:szCs w:val="21"/>
                <w:lang w:val="en-US" w:eastAsia="zh-CN"/>
              </w:rPr>
              <w:t>人</w:t>
            </w:r>
          </w:p>
        </w:tc>
        <w:tc>
          <w:tcPr>
            <w:tcW w:w="6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112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30</w:t>
            </w:r>
          </w:p>
        </w:tc>
        <w:tc>
          <w:tcPr>
            <w:tcW w:w="7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36</w:t>
            </w:r>
          </w:p>
        </w:tc>
        <w:tc>
          <w:tcPr>
            <w:tcW w:w="9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20</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10</w:t>
            </w:r>
          </w:p>
        </w:tc>
        <w:tc>
          <w:tcPr>
            <w:tcW w:w="1132"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方正仿宋_GBK" w:cs="方正仿宋_GBK"/>
                <w:color w:val="000000"/>
                <w:kern w:val="0"/>
                <w:sz w:val="21"/>
                <w:szCs w:val="21"/>
              </w:rPr>
            </w:pPr>
          </w:p>
        </w:tc>
        <w:tc>
          <w:tcPr>
            <w:tcW w:w="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受益对象满意度</w:t>
            </w:r>
          </w:p>
        </w:tc>
        <w:tc>
          <w:tcPr>
            <w:tcW w:w="6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6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112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90</w:t>
            </w:r>
          </w:p>
        </w:tc>
        <w:tc>
          <w:tcPr>
            <w:tcW w:w="7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95</w:t>
            </w:r>
          </w:p>
        </w:tc>
        <w:tc>
          <w:tcPr>
            <w:tcW w:w="9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5.</w:t>
            </w:r>
            <w:r>
              <w:rPr>
                <w:rFonts w:hint="eastAsia" w:ascii="宋体" w:hAnsi="宋体" w:eastAsia="方正仿宋_GBK" w:cs="方正仿宋_GBK"/>
                <w:color w:val="000000"/>
                <w:kern w:val="0"/>
                <w:sz w:val="21"/>
                <w:szCs w:val="21"/>
                <w:lang w:val="en-US" w:eastAsia="zh-CN"/>
              </w:rPr>
              <w:t>5</w:t>
            </w:r>
            <w:r>
              <w:rPr>
                <w:rFonts w:hint="eastAsia" w:ascii="宋体" w:hAnsi="宋体" w:eastAsia="方正仿宋_GBK" w:cs="方正仿宋_GBK"/>
                <w:color w:val="000000"/>
                <w:kern w:val="0"/>
                <w:sz w:val="21"/>
                <w:szCs w:val="21"/>
              </w:rPr>
              <w:t>6</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20</w:t>
            </w:r>
          </w:p>
        </w:tc>
        <w:tc>
          <w:tcPr>
            <w:tcW w:w="1132"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5"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方正仿宋_GBK" w:cs="方正仿宋_GBK"/>
                <w:color w:val="000000"/>
                <w:kern w:val="0"/>
                <w:sz w:val="21"/>
                <w:szCs w:val="21"/>
              </w:rPr>
            </w:pPr>
          </w:p>
        </w:tc>
        <w:tc>
          <w:tcPr>
            <w:tcW w:w="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“三公经费”控制情况</w:t>
            </w:r>
          </w:p>
        </w:tc>
        <w:tc>
          <w:tcPr>
            <w:tcW w:w="6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万元</w:t>
            </w:r>
          </w:p>
        </w:tc>
        <w:tc>
          <w:tcPr>
            <w:tcW w:w="6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112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6.5</w:t>
            </w:r>
          </w:p>
        </w:tc>
        <w:tc>
          <w:tcPr>
            <w:tcW w:w="7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2.628533</w:t>
            </w:r>
          </w:p>
        </w:tc>
        <w:tc>
          <w:tcPr>
            <w:tcW w:w="9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59.56</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5</w:t>
            </w:r>
          </w:p>
        </w:tc>
        <w:tc>
          <w:tcPr>
            <w:tcW w:w="1132"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5</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严控三公经费支出，减少油车出行概率，尽量使用新能源公务车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方正仿宋_GBK" w:cs="方正仿宋_GBK"/>
                <w:color w:val="000000"/>
                <w:kern w:val="0"/>
                <w:sz w:val="21"/>
                <w:szCs w:val="21"/>
              </w:rPr>
            </w:pPr>
          </w:p>
        </w:tc>
        <w:tc>
          <w:tcPr>
            <w:tcW w:w="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采用保障金方式的政府采购占比情况</w:t>
            </w:r>
          </w:p>
        </w:tc>
        <w:tc>
          <w:tcPr>
            <w:tcW w:w="6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c>
          <w:tcPr>
            <w:tcW w:w="6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eastAsia="zh-CN"/>
              </w:rPr>
            </w:pPr>
            <w:r>
              <w:rPr>
                <w:rFonts w:hint="eastAsia" w:ascii="宋体" w:hAnsi="宋体" w:eastAsia="方正仿宋_GBK" w:cs="方正仿宋_GBK"/>
                <w:color w:val="000000"/>
                <w:kern w:val="0"/>
                <w:sz w:val="21"/>
                <w:szCs w:val="21"/>
                <w:lang w:val="en-US" w:eastAsia="zh-CN"/>
              </w:rPr>
              <w:t>定性</w:t>
            </w:r>
          </w:p>
        </w:tc>
        <w:tc>
          <w:tcPr>
            <w:tcW w:w="112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无保障金采购的，得满分；保障金采购占比≤10%的，按该项指标分值的90%计算得分；占比&gt;10%，不得分。</w:t>
            </w:r>
          </w:p>
        </w:tc>
        <w:tc>
          <w:tcPr>
            <w:tcW w:w="7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w:t>
            </w:r>
          </w:p>
        </w:tc>
        <w:tc>
          <w:tcPr>
            <w:tcW w:w="9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0</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5</w:t>
            </w:r>
          </w:p>
        </w:tc>
        <w:tc>
          <w:tcPr>
            <w:tcW w:w="1132"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5</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方正仿宋_GBK" w:cs="方正仿宋_GBK"/>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pPr>
          </w:p>
        </w:tc>
        <w:tc>
          <w:tcPr>
            <w:tcW w:w="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聘用人员控制情况</w:t>
            </w:r>
          </w:p>
        </w:tc>
        <w:tc>
          <w:tcPr>
            <w:tcW w:w="6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人</w:t>
            </w:r>
          </w:p>
        </w:tc>
        <w:tc>
          <w:tcPr>
            <w:tcW w:w="6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112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0</w:t>
            </w:r>
          </w:p>
        </w:tc>
        <w:tc>
          <w:tcPr>
            <w:tcW w:w="7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0</w:t>
            </w:r>
          </w:p>
        </w:tc>
        <w:tc>
          <w:tcPr>
            <w:tcW w:w="9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0</w:t>
            </w:r>
          </w:p>
        </w:tc>
        <w:tc>
          <w:tcPr>
            <w:tcW w:w="10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100</w:t>
            </w:r>
          </w:p>
        </w:tc>
        <w:tc>
          <w:tcPr>
            <w:tcW w:w="10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10</w:t>
            </w:r>
          </w:p>
        </w:tc>
        <w:tc>
          <w:tcPr>
            <w:tcW w:w="1132"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r>
    </w:tbl>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both"/>
        <w:textAlignment w:val="auto"/>
        <w:rPr>
          <w:rFonts w:hint="eastAsia" w:ascii="宋体" w:hAnsi="宋体" w:eastAsia="方正仿宋_GBK" w:cs="方正仿宋_GBK"/>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both"/>
        <w:textAlignment w:val="auto"/>
        <w:rPr>
          <w:rFonts w:hint="eastAsia" w:ascii="宋体" w:hAnsi="宋体" w:eastAsia="方正仿宋_GBK" w:cs="方正仿宋_GBK"/>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both"/>
        <w:textAlignment w:val="auto"/>
        <w:rPr>
          <w:rFonts w:hint="eastAsia" w:ascii="宋体" w:hAnsi="宋体" w:eastAsia="方正仿宋_GBK" w:cs="方正仿宋_GBK"/>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both"/>
        <w:textAlignment w:val="auto"/>
        <w:rPr>
          <w:rFonts w:hint="eastAsia" w:ascii="宋体" w:hAnsi="宋体" w:eastAsia="方正仿宋_GBK" w:cs="方正仿宋_GBK"/>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both"/>
        <w:textAlignment w:val="auto"/>
        <w:rPr>
          <w:rFonts w:hint="eastAsia" w:ascii="宋体" w:hAnsi="宋体" w:eastAsia="方正仿宋_GBK" w:cs="方正仿宋_GBK"/>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both"/>
        <w:textAlignment w:val="auto"/>
        <w:rPr>
          <w:rFonts w:hint="eastAsia" w:ascii="宋体" w:hAnsi="宋体" w:eastAsia="方正仿宋_GBK" w:cs="方正仿宋_GBK"/>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rPr>
      </w:pPr>
      <w:r>
        <w:rPr>
          <w:rFonts w:hint="eastAsia" w:ascii="方正黑体_GBK" w:hAnsi="方正黑体_GBK" w:eastAsia="方正黑体_GBK" w:cs="方正黑体_GBK"/>
          <w:b w:val="0"/>
          <w:bCs w:val="0"/>
          <w:color w:val="000000"/>
          <w:kern w:val="0"/>
          <w:sz w:val="36"/>
          <w:szCs w:val="36"/>
          <w:lang w:val="en-US" w:eastAsia="zh-CN"/>
        </w:rPr>
        <w:t>2024年度项目</w:t>
      </w:r>
      <w:r>
        <w:rPr>
          <w:rFonts w:hint="eastAsia" w:ascii="方正黑体_GBK" w:hAnsi="方正黑体_GBK" w:eastAsia="方正黑体_GBK" w:cs="方正黑体_GBK"/>
          <w:b w:val="0"/>
          <w:bCs w:val="0"/>
          <w:color w:val="000000"/>
          <w:kern w:val="0"/>
          <w:sz w:val="36"/>
          <w:szCs w:val="36"/>
        </w:rPr>
        <w:t>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931"/>
        <w:gridCol w:w="690"/>
        <w:gridCol w:w="660"/>
        <w:gridCol w:w="525"/>
        <w:gridCol w:w="211"/>
        <w:gridCol w:w="1019"/>
        <w:gridCol w:w="915"/>
        <w:gridCol w:w="1066"/>
        <w:gridCol w:w="1092"/>
        <w:gridCol w:w="938"/>
        <w:gridCol w:w="346"/>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项目</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名称</w:t>
            </w:r>
          </w:p>
        </w:tc>
        <w:tc>
          <w:tcPr>
            <w:tcW w:w="4036"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集中供养孤儿生活费</w:t>
            </w:r>
          </w:p>
        </w:tc>
        <w:tc>
          <w:tcPr>
            <w:tcW w:w="9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自评总分（分）</w:t>
            </w:r>
          </w:p>
        </w:tc>
        <w:tc>
          <w:tcPr>
            <w:tcW w:w="4334"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lang w:val="en-US" w:eastAsia="zh-CN"/>
              </w:rPr>
              <w:t>项目</w:t>
            </w:r>
            <w:r>
              <w:rPr>
                <w:rFonts w:hint="eastAsia" w:ascii="宋体" w:hAnsi="宋体" w:eastAsia="方正仿宋_GBK" w:cs="方正仿宋_GBK"/>
                <w:color w:val="000000"/>
                <w:kern w:val="0"/>
                <w:sz w:val="21"/>
                <w:szCs w:val="21"/>
              </w:rPr>
              <w:t>主管部门</w:t>
            </w:r>
          </w:p>
        </w:tc>
        <w:tc>
          <w:tcPr>
            <w:tcW w:w="162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309-重庆市江津区社会福利院</w:t>
            </w:r>
          </w:p>
        </w:tc>
        <w:tc>
          <w:tcPr>
            <w:tcW w:w="118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财政归口科室</w:t>
            </w:r>
          </w:p>
        </w:tc>
        <w:tc>
          <w:tcPr>
            <w:tcW w:w="123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003-社会保障科</w:t>
            </w:r>
          </w:p>
        </w:tc>
        <w:tc>
          <w:tcPr>
            <w:tcW w:w="9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项目</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联系人</w:t>
            </w:r>
          </w:p>
        </w:tc>
        <w:tc>
          <w:tcPr>
            <w:tcW w:w="10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郭禄娟</w:t>
            </w:r>
          </w:p>
        </w:tc>
        <w:tc>
          <w:tcPr>
            <w:tcW w:w="10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联系电话</w:t>
            </w:r>
          </w:p>
        </w:tc>
        <w:tc>
          <w:tcPr>
            <w:tcW w:w="217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18725881886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项目资金（万元）</w:t>
            </w:r>
          </w:p>
        </w:tc>
        <w:tc>
          <w:tcPr>
            <w:tcW w:w="1621" w:type="dxa"/>
            <w:gridSpan w:val="2"/>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年度总金额</w:t>
            </w:r>
          </w:p>
        </w:tc>
        <w:tc>
          <w:tcPr>
            <w:tcW w:w="118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预算数</w:t>
            </w:r>
          </w:p>
        </w:tc>
        <w:tc>
          <w:tcPr>
            <w:tcW w:w="123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全年（调整）预算数</w:t>
            </w:r>
          </w:p>
        </w:tc>
        <w:tc>
          <w:tcPr>
            <w:tcW w:w="198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全年执行数</w:t>
            </w:r>
          </w:p>
        </w:tc>
        <w:tc>
          <w:tcPr>
            <w:tcW w:w="10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执行率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93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执行率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权重</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执行率</w:t>
            </w:r>
            <w:r>
              <w:rPr>
                <w:rFonts w:hint="eastAsia" w:ascii="宋体" w:hAnsi="宋体" w:eastAsia="方正仿宋_GBK" w:cs="方正仿宋_GBK"/>
                <w:color w:val="000000"/>
                <w:kern w:val="0"/>
                <w:sz w:val="21"/>
                <w:szCs w:val="21"/>
                <w:lang w:val="en-US" w:eastAsia="zh-CN"/>
              </w:rPr>
              <w:t xml:space="preserve">  </w:t>
            </w:r>
            <w:r>
              <w:rPr>
                <w:rFonts w:hint="eastAsia" w:ascii="宋体" w:hAnsi="宋体" w:eastAsia="方正仿宋_GBK" w:cs="方正仿宋_GBK"/>
                <w:color w:val="000000"/>
                <w:kern w:val="0"/>
                <w:sz w:val="21"/>
                <w:szCs w:val="21"/>
              </w:rPr>
              <w:t>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c>
          <w:tcPr>
            <w:tcW w:w="1621"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c>
          <w:tcPr>
            <w:tcW w:w="118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836489.62</w:t>
            </w:r>
          </w:p>
        </w:tc>
        <w:tc>
          <w:tcPr>
            <w:tcW w:w="123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324255.98</w:t>
            </w:r>
          </w:p>
        </w:tc>
        <w:tc>
          <w:tcPr>
            <w:tcW w:w="198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324255.98</w:t>
            </w:r>
          </w:p>
        </w:tc>
        <w:tc>
          <w:tcPr>
            <w:tcW w:w="10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c>
          <w:tcPr>
            <w:tcW w:w="93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kern w:val="0"/>
                <w:sz w:val="21"/>
                <w:szCs w:val="21"/>
              </w:rPr>
            </w:pP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c>
          <w:tcPr>
            <w:tcW w:w="162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其中：</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财政拨款</w:t>
            </w:r>
          </w:p>
        </w:tc>
        <w:tc>
          <w:tcPr>
            <w:tcW w:w="118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836489.62</w:t>
            </w:r>
          </w:p>
        </w:tc>
        <w:tc>
          <w:tcPr>
            <w:tcW w:w="123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324255.98</w:t>
            </w:r>
          </w:p>
        </w:tc>
        <w:tc>
          <w:tcPr>
            <w:tcW w:w="198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324255.98</w:t>
            </w:r>
          </w:p>
        </w:tc>
        <w:tc>
          <w:tcPr>
            <w:tcW w:w="10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93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4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当年绩效目标</w:t>
            </w:r>
          </w:p>
        </w:tc>
        <w:tc>
          <w:tcPr>
            <w:tcW w:w="3017"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年初绩效目标</w:t>
            </w:r>
          </w:p>
        </w:tc>
        <w:tc>
          <w:tcPr>
            <w:tcW w:w="3000"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全年（调整）绩效目标</w:t>
            </w:r>
          </w:p>
        </w:tc>
        <w:tc>
          <w:tcPr>
            <w:tcW w:w="3268"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c>
          <w:tcPr>
            <w:tcW w:w="3017"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大力宣传政策，保障福利机构集中供养孤儿基本生活需求、学习教育需求、医疗康复需求、保障孤儿教养康工作顺利开展，让孤儿在良好的生活环境中身心健康成长。</w:t>
            </w:r>
          </w:p>
        </w:tc>
        <w:tc>
          <w:tcPr>
            <w:tcW w:w="3000"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c>
          <w:tcPr>
            <w:tcW w:w="3268"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全面完成保障在福利机构的孤儿基本生活需求，学习教育需求，医疗康复需求、保障孤儿教养康工作顺利开展。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绩效指标</w:t>
            </w:r>
          </w:p>
        </w:tc>
        <w:tc>
          <w:tcPr>
            <w:tcW w:w="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名称</w:t>
            </w:r>
          </w:p>
        </w:tc>
        <w:tc>
          <w:tcPr>
            <w:tcW w:w="6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计量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单位</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性质</w:t>
            </w:r>
          </w:p>
        </w:tc>
        <w:tc>
          <w:tcPr>
            <w:tcW w:w="73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值</w:t>
            </w:r>
          </w:p>
        </w:tc>
        <w:tc>
          <w:tcPr>
            <w:tcW w:w="10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完成值</w:t>
            </w:r>
          </w:p>
        </w:tc>
        <w:tc>
          <w:tcPr>
            <w:tcW w:w="9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偏离度（%）</w:t>
            </w:r>
          </w:p>
        </w:tc>
        <w:tc>
          <w:tcPr>
            <w:tcW w:w="10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得分系数</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10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指标权重</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（分）</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指标得分</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（分）</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方正仿宋_GBK" w:cs="方正仿宋_GBK"/>
                <w:color w:val="000000"/>
                <w:kern w:val="0"/>
                <w:sz w:val="21"/>
                <w:szCs w:val="21"/>
              </w:rPr>
            </w:pPr>
          </w:p>
        </w:tc>
        <w:tc>
          <w:tcPr>
            <w:tcW w:w="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新增对象资格合格率</w:t>
            </w:r>
          </w:p>
        </w:tc>
        <w:tc>
          <w:tcPr>
            <w:tcW w:w="6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73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95</w:t>
            </w:r>
          </w:p>
        </w:tc>
        <w:tc>
          <w:tcPr>
            <w:tcW w:w="10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9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5.26</w:t>
            </w:r>
          </w:p>
        </w:tc>
        <w:tc>
          <w:tcPr>
            <w:tcW w:w="10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sz w:val="21"/>
                <w:szCs w:val="21"/>
              </w:rPr>
            </w:pPr>
          </w:p>
        </w:tc>
        <w:tc>
          <w:tcPr>
            <w:tcW w:w="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在册对象核查率</w:t>
            </w:r>
          </w:p>
        </w:tc>
        <w:tc>
          <w:tcPr>
            <w:tcW w:w="6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73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95</w:t>
            </w:r>
          </w:p>
        </w:tc>
        <w:tc>
          <w:tcPr>
            <w:tcW w:w="10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9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5.26</w:t>
            </w:r>
          </w:p>
        </w:tc>
        <w:tc>
          <w:tcPr>
            <w:tcW w:w="10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15</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rPr>
            </w:pPr>
            <w:r>
              <w:rPr>
                <w:rFonts w:hint="eastAsia" w:ascii="宋体" w:hAnsi="宋体" w:eastAsia="方正仿宋_GBK" w:cs="方正仿宋_GBK"/>
                <w:color w:val="000000"/>
                <w:kern w:val="0"/>
                <w:sz w:val="21"/>
                <w:szCs w:val="21"/>
                <w:lang w:val="en-US" w:eastAsia="zh-CN"/>
              </w:rPr>
              <w:t>15</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方正仿宋_GBK" w:cs="方正仿宋_GBK"/>
                <w:color w:val="000000"/>
                <w:kern w:val="0"/>
                <w:sz w:val="21"/>
                <w:szCs w:val="21"/>
              </w:rPr>
            </w:pPr>
          </w:p>
        </w:tc>
        <w:tc>
          <w:tcPr>
            <w:tcW w:w="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动态调整及时率</w:t>
            </w:r>
          </w:p>
        </w:tc>
        <w:tc>
          <w:tcPr>
            <w:tcW w:w="6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73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95</w:t>
            </w:r>
          </w:p>
        </w:tc>
        <w:tc>
          <w:tcPr>
            <w:tcW w:w="10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9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5.26</w:t>
            </w:r>
          </w:p>
        </w:tc>
        <w:tc>
          <w:tcPr>
            <w:tcW w:w="10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15</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15</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方正仿宋_GBK" w:cs="方正仿宋_GBK"/>
                <w:color w:val="000000"/>
                <w:kern w:val="0"/>
                <w:sz w:val="21"/>
                <w:szCs w:val="21"/>
              </w:rPr>
            </w:pPr>
          </w:p>
        </w:tc>
        <w:tc>
          <w:tcPr>
            <w:tcW w:w="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补助事项公示率</w:t>
            </w:r>
          </w:p>
        </w:tc>
        <w:tc>
          <w:tcPr>
            <w:tcW w:w="6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73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95</w:t>
            </w:r>
          </w:p>
        </w:tc>
        <w:tc>
          <w:tcPr>
            <w:tcW w:w="10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9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5.26</w:t>
            </w:r>
          </w:p>
        </w:tc>
        <w:tc>
          <w:tcPr>
            <w:tcW w:w="10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15</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15</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方正仿宋_GBK" w:cs="方正仿宋_GBK"/>
                <w:color w:val="000000"/>
                <w:kern w:val="0"/>
                <w:sz w:val="21"/>
                <w:szCs w:val="21"/>
              </w:rPr>
            </w:pPr>
          </w:p>
        </w:tc>
        <w:tc>
          <w:tcPr>
            <w:tcW w:w="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补助政策知晓率</w:t>
            </w:r>
          </w:p>
        </w:tc>
        <w:tc>
          <w:tcPr>
            <w:tcW w:w="6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73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90</w:t>
            </w:r>
          </w:p>
        </w:tc>
        <w:tc>
          <w:tcPr>
            <w:tcW w:w="10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9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11.11</w:t>
            </w:r>
          </w:p>
        </w:tc>
        <w:tc>
          <w:tcPr>
            <w:tcW w:w="10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15</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15</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方正仿宋_GBK" w:cs="方正仿宋_GBK"/>
                <w:color w:val="000000"/>
                <w:kern w:val="0"/>
                <w:sz w:val="21"/>
                <w:szCs w:val="21"/>
              </w:rPr>
            </w:pPr>
          </w:p>
        </w:tc>
        <w:tc>
          <w:tcPr>
            <w:tcW w:w="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受益对象满意度</w:t>
            </w:r>
          </w:p>
        </w:tc>
        <w:tc>
          <w:tcPr>
            <w:tcW w:w="6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73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90</w:t>
            </w:r>
          </w:p>
        </w:tc>
        <w:tc>
          <w:tcPr>
            <w:tcW w:w="10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9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11.11</w:t>
            </w:r>
          </w:p>
        </w:tc>
        <w:tc>
          <w:tcPr>
            <w:tcW w:w="10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方正仿宋_GBK" w:cs="方正仿宋_GBK"/>
                <w:color w:val="000000"/>
                <w:kern w:val="0"/>
                <w:sz w:val="21"/>
                <w:szCs w:val="21"/>
              </w:rPr>
            </w:pPr>
          </w:p>
        </w:tc>
        <w:tc>
          <w:tcPr>
            <w:tcW w:w="9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人均月标准</w:t>
            </w:r>
          </w:p>
        </w:tc>
        <w:tc>
          <w:tcPr>
            <w:tcW w:w="6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元/人*月</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w:t>
            </w:r>
          </w:p>
        </w:tc>
        <w:tc>
          <w:tcPr>
            <w:tcW w:w="73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1605</w:t>
            </w:r>
          </w:p>
        </w:tc>
        <w:tc>
          <w:tcPr>
            <w:tcW w:w="10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1605</w:t>
            </w:r>
          </w:p>
        </w:tc>
        <w:tc>
          <w:tcPr>
            <w:tcW w:w="9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0</w:t>
            </w:r>
          </w:p>
        </w:tc>
        <w:tc>
          <w:tcPr>
            <w:tcW w:w="10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方正仿宋_GBK" w:cs="方正仿宋_GBK"/>
                <w:color w:val="000000"/>
                <w:kern w:val="0"/>
                <w:sz w:val="21"/>
                <w:szCs w:val="21"/>
                <w:lang w:val="en-US" w:eastAsia="zh-CN"/>
              </w:rPr>
            </w:pPr>
            <w:r>
              <w:rPr>
                <w:rFonts w:hint="eastAsia" w:ascii="宋体" w:hAnsi="宋体" w:eastAsia="方正仿宋_GBK" w:cs="方正仿宋_GBK"/>
                <w:color w:val="000000"/>
                <w:kern w:val="0"/>
                <w:sz w:val="21"/>
                <w:szCs w:val="21"/>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院内儿童8月移送重庆</w:t>
            </w:r>
          </w:p>
        </w:tc>
      </w:tr>
    </w:tbl>
    <w:p>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43" w:firstLineChars="200"/>
        <w:textAlignment w:val="auto"/>
        <w:rPr>
          <w:rFonts w:hint="eastAsia" w:ascii="宋体" w:hAnsi="宋体" w:eastAsia="方正仿宋_GBK" w:cs="方正仿宋_GBK"/>
          <w:b/>
          <w:bCs w:val="0"/>
          <w:kern w:val="0"/>
          <w:sz w:val="32"/>
          <w:szCs w:val="32"/>
        </w:rPr>
      </w:pPr>
      <w:r>
        <w:rPr>
          <w:rFonts w:hint="eastAsia" w:ascii="宋体" w:hAnsi="宋体" w:eastAsia="方正仿宋_GBK" w:cs="方正仿宋_GBK"/>
          <w:b/>
          <w:bCs w:val="0"/>
          <w:kern w:val="0"/>
          <w:sz w:val="32"/>
          <w:szCs w:val="32"/>
        </w:rPr>
        <w:t>绩效自评报告或案例</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color w:val="auto"/>
          <w:kern w:val="0"/>
          <w:sz w:val="32"/>
          <w:szCs w:val="32"/>
          <w:lang w:eastAsia="zh-CN"/>
        </w:rPr>
      </w:pPr>
      <w:r>
        <w:rPr>
          <w:rFonts w:hint="eastAsia" w:ascii="宋体" w:hAnsi="宋体" w:eastAsia="方正仿宋_GBK" w:cs="方正仿宋_GBK"/>
          <w:color w:val="auto"/>
          <w:kern w:val="0"/>
          <w:sz w:val="32"/>
          <w:szCs w:val="32"/>
          <w:lang w:val="en-US" w:eastAsia="zh-CN"/>
        </w:rPr>
        <w:t>本部门无此事项。</w:t>
      </w:r>
    </w:p>
    <w:p>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43" w:firstLineChars="200"/>
        <w:textAlignment w:val="auto"/>
        <w:rPr>
          <w:rFonts w:hint="eastAsia" w:ascii="宋体" w:hAnsi="宋体" w:eastAsia="方正仿宋_GBK" w:cs="方正仿宋_GBK"/>
          <w:b/>
          <w:bCs/>
          <w:color w:val="000000"/>
          <w:kern w:val="0"/>
          <w:sz w:val="32"/>
          <w:szCs w:val="32"/>
        </w:rPr>
      </w:pPr>
      <w:r>
        <w:rPr>
          <w:rFonts w:hint="eastAsia" w:ascii="宋体" w:hAnsi="宋体" w:eastAsia="方正仿宋_GBK" w:cs="方正仿宋_GBK"/>
          <w:b/>
          <w:bCs/>
          <w:color w:val="000000"/>
          <w:kern w:val="0"/>
          <w:sz w:val="32"/>
          <w:szCs w:val="32"/>
        </w:rPr>
        <w:t>关于绩效自评结果的说明</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无</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宋体" w:hAnsi="宋体" w:eastAsia="方正楷体_GBK" w:cs="方正楷体_GBK"/>
          <w:color w:val="333333"/>
          <w:sz w:val="32"/>
          <w:szCs w:val="32"/>
        </w:rPr>
      </w:pPr>
      <w:r>
        <w:rPr>
          <w:rFonts w:hint="eastAsia" w:ascii="宋体" w:hAnsi="宋体" w:eastAsia="方正楷体_GBK" w:cs="方正楷体_GBK"/>
          <w:color w:val="333333"/>
          <w:sz w:val="32"/>
          <w:szCs w:val="32"/>
        </w:rPr>
        <w:t>（三）重点绩效评价结果</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本部门无此事项。</w:t>
      </w:r>
      <w:r>
        <w:rPr>
          <w:rFonts w:hint="eastAsia" w:ascii="宋体" w:hAnsi="宋体" w:eastAsia="方正仿宋_GBK" w:cs="方正仿宋_GBK"/>
          <w:kern w:val="0"/>
          <w:sz w:val="32"/>
          <w:szCs w:val="32"/>
          <w:lang w:eastAsia="zh-CN"/>
        </w:rPr>
        <w:t>）</w:t>
      </w:r>
    </w:p>
    <w:p>
      <w:pPr>
        <w:pStyle w:val="9"/>
        <w:keepNext w:val="0"/>
        <w:keepLines w:val="0"/>
        <w:pageBreakBefore w:val="0"/>
        <w:widowControl w:val="0"/>
        <w:numPr>
          <w:ilvl w:val="0"/>
          <w:numId w:val="8"/>
        </w:numPr>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专业名词解释</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部门应根据实际情况对专业名词进行解释，不得遗漏。</w:t>
      </w:r>
      <w:r>
        <w:rPr>
          <w:rFonts w:hint="eastAsia" w:ascii="宋体" w:hAnsi="宋体" w:eastAsia="方正仿宋_GBK" w:cs="方正仿宋_GBK"/>
          <w:sz w:val="32"/>
          <w:szCs w:val="32"/>
          <w:lang w:val="en-US" w:eastAsia="zh-CN"/>
        </w:rPr>
        <w:t>示例：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宋体" w:hAnsi="宋体" w:eastAsia="方正仿宋_GBK" w:cs="方正仿宋_GBK"/>
          <w:sz w:val="32"/>
          <w:szCs w:val="32"/>
          <w:lang w:val="en-US"/>
        </w:rPr>
      </w:pPr>
      <w:r>
        <w:rPr>
          <w:rFonts w:hint="eastAsia" w:ascii="宋体" w:hAnsi="宋体" w:eastAsia="方正仿宋_GBK" w:cs="方正仿宋_GBK"/>
          <w:sz w:val="32"/>
          <w:szCs w:val="32"/>
          <w:lang w:val="en-US" w:eastAsia="zh-CN"/>
        </w:rPr>
        <w:t>联系人：张爱林</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联系电话：023-47853081</w:t>
      </w:r>
    </w:p>
    <w:sectPr>
      <w:footerReference r:id="rId3" w:type="default"/>
      <w:footerReference r:id="rId4" w:type="even"/>
      <w:pgSz w:w="11906" w:h="16838"/>
      <w:pgMar w:top="1587" w:right="1474" w:bottom="147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BF018CFE"/>
    <w:multiLevelType w:val="singleLevel"/>
    <w:tmpl w:val="BF018CFE"/>
    <w:lvl w:ilvl="0" w:tentative="0">
      <w:start w:val="2"/>
      <w:numFmt w:val="chineseCounting"/>
      <w:suff w:val="nothing"/>
      <w:lvlText w:val="%1、"/>
      <w:lvlJc w:val="left"/>
      <w:rPr>
        <w:rFonts w:hint="eastAsia"/>
      </w:rPr>
    </w:lvl>
  </w:abstractNum>
  <w:abstractNum w:abstractNumId="2">
    <w:nsid w:val="C7DC43F0"/>
    <w:multiLevelType w:val="singleLevel"/>
    <w:tmpl w:val="C7DC43F0"/>
    <w:lvl w:ilvl="0" w:tentative="0">
      <w:start w:val="1"/>
      <w:numFmt w:val="decimal"/>
      <w:suff w:val="space"/>
      <w:lvlText w:val="%1."/>
      <w:lvlJc w:val="left"/>
    </w:lvl>
  </w:abstractNum>
  <w:abstractNum w:abstractNumId="3">
    <w:nsid w:val="170F8B3D"/>
    <w:multiLevelType w:val="singleLevel"/>
    <w:tmpl w:val="170F8B3D"/>
    <w:lvl w:ilvl="0" w:tentative="0">
      <w:start w:val="1"/>
      <w:numFmt w:val="decimal"/>
      <w:suff w:val="space"/>
      <w:lvlText w:val="%1."/>
      <w:lvlJc w:val="left"/>
    </w:lvl>
  </w:abstractNum>
  <w:abstractNum w:abstractNumId="4">
    <w:nsid w:val="36AF54E0"/>
    <w:multiLevelType w:val="singleLevel"/>
    <w:tmpl w:val="36AF54E0"/>
    <w:lvl w:ilvl="0" w:tentative="0">
      <w:start w:val="2"/>
      <w:numFmt w:val="decimal"/>
      <w:suff w:val="space"/>
      <w:lvlText w:val="%1."/>
      <w:lvlJc w:val="left"/>
    </w:lvl>
  </w:abstractNum>
  <w:abstractNum w:abstractNumId="5">
    <w:nsid w:val="6BB1AE55"/>
    <w:multiLevelType w:val="singleLevel"/>
    <w:tmpl w:val="6BB1AE55"/>
    <w:lvl w:ilvl="0" w:tentative="0">
      <w:start w:val="1"/>
      <w:numFmt w:val="chineseCounting"/>
      <w:suff w:val="nothing"/>
      <w:lvlText w:val="（%1）"/>
      <w:lvlJc w:val="left"/>
      <w:rPr>
        <w:rFonts w:hint="eastAsia"/>
      </w:rPr>
    </w:lvl>
  </w:abstractNum>
  <w:abstractNum w:abstractNumId="6">
    <w:nsid w:val="7B7C9C1F"/>
    <w:multiLevelType w:val="singleLevel"/>
    <w:tmpl w:val="7B7C9C1F"/>
    <w:lvl w:ilvl="0" w:tentative="0">
      <w:start w:val="1"/>
      <w:numFmt w:val="decimal"/>
      <w:suff w:val="nothing"/>
      <w:lvlText w:val="（%1）"/>
      <w:lvlJc w:val="left"/>
    </w:lvl>
  </w:abstractNum>
  <w:abstractNum w:abstractNumId="7">
    <w:nsid w:val="7FC6D37E"/>
    <w:multiLevelType w:val="singleLevel"/>
    <w:tmpl w:val="7FC6D37E"/>
    <w:lvl w:ilvl="0" w:tentative="0">
      <w:start w:val="2"/>
      <w:numFmt w:val="chineseCounting"/>
      <w:suff w:val="nothing"/>
      <w:lvlText w:val="（%1）"/>
      <w:lvlJc w:val="left"/>
      <w:rPr>
        <w:rFonts w:hint="eastAsia"/>
      </w:rPr>
    </w:lvl>
  </w:abstractNum>
  <w:num w:numId="1">
    <w:abstractNumId w:val="7"/>
  </w:num>
  <w:num w:numId="2">
    <w:abstractNumId w:val="1"/>
  </w:num>
  <w:num w:numId="3">
    <w:abstractNumId w:val="5"/>
  </w:num>
  <w:num w:numId="4">
    <w:abstractNumId w:val="3"/>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21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B7A64"/>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337"/>
    <w:rsid w:val="00FB5BA5"/>
    <w:rsid w:val="00FC4290"/>
    <w:rsid w:val="00FD5C48"/>
    <w:rsid w:val="00FD6A34"/>
    <w:rsid w:val="00FE24BC"/>
    <w:rsid w:val="00FE3A24"/>
    <w:rsid w:val="00FF02D5"/>
    <w:rsid w:val="0127533C"/>
    <w:rsid w:val="01626E33"/>
    <w:rsid w:val="017A2F9F"/>
    <w:rsid w:val="01B67107"/>
    <w:rsid w:val="020F6D27"/>
    <w:rsid w:val="021138F7"/>
    <w:rsid w:val="02217C74"/>
    <w:rsid w:val="02353A89"/>
    <w:rsid w:val="0237501D"/>
    <w:rsid w:val="02400DD9"/>
    <w:rsid w:val="02523A83"/>
    <w:rsid w:val="026359B2"/>
    <w:rsid w:val="026B7642"/>
    <w:rsid w:val="02AC542A"/>
    <w:rsid w:val="03255A72"/>
    <w:rsid w:val="037E6278"/>
    <w:rsid w:val="038E49EB"/>
    <w:rsid w:val="03A45696"/>
    <w:rsid w:val="03B44E81"/>
    <w:rsid w:val="03B74B35"/>
    <w:rsid w:val="03D862B6"/>
    <w:rsid w:val="03E5328D"/>
    <w:rsid w:val="03FB4D0B"/>
    <w:rsid w:val="045B484E"/>
    <w:rsid w:val="047841EE"/>
    <w:rsid w:val="04A56073"/>
    <w:rsid w:val="04AD2B7D"/>
    <w:rsid w:val="04E841EF"/>
    <w:rsid w:val="05081AD1"/>
    <w:rsid w:val="052E6699"/>
    <w:rsid w:val="055204AE"/>
    <w:rsid w:val="057728DC"/>
    <w:rsid w:val="05912D04"/>
    <w:rsid w:val="05C1448E"/>
    <w:rsid w:val="05C1761D"/>
    <w:rsid w:val="05CB413A"/>
    <w:rsid w:val="05D90398"/>
    <w:rsid w:val="05E52FAD"/>
    <w:rsid w:val="05EC26B0"/>
    <w:rsid w:val="060A24AD"/>
    <w:rsid w:val="064424ED"/>
    <w:rsid w:val="06F3181D"/>
    <w:rsid w:val="07640956"/>
    <w:rsid w:val="07A34544"/>
    <w:rsid w:val="08190B33"/>
    <w:rsid w:val="083E2F6B"/>
    <w:rsid w:val="08C10882"/>
    <w:rsid w:val="08C7668D"/>
    <w:rsid w:val="08CC205B"/>
    <w:rsid w:val="08DB1609"/>
    <w:rsid w:val="09327D67"/>
    <w:rsid w:val="097859D4"/>
    <w:rsid w:val="09822D0F"/>
    <w:rsid w:val="09823D8A"/>
    <w:rsid w:val="09C9617E"/>
    <w:rsid w:val="0A280DE4"/>
    <w:rsid w:val="0A2D21B2"/>
    <w:rsid w:val="0A652A31"/>
    <w:rsid w:val="0A751EDD"/>
    <w:rsid w:val="0AAF0151"/>
    <w:rsid w:val="0AB177F2"/>
    <w:rsid w:val="0AB319EF"/>
    <w:rsid w:val="0AEC3562"/>
    <w:rsid w:val="0B3568A8"/>
    <w:rsid w:val="0B447CC4"/>
    <w:rsid w:val="0B5C19F8"/>
    <w:rsid w:val="0B6B4922"/>
    <w:rsid w:val="0B840250"/>
    <w:rsid w:val="0BBB1C03"/>
    <w:rsid w:val="0BBD1CFB"/>
    <w:rsid w:val="0BC63C92"/>
    <w:rsid w:val="0BCF17F7"/>
    <w:rsid w:val="0C1A7343"/>
    <w:rsid w:val="0C385DD6"/>
    <w:rsid w:val="0C3C56A3"/>
    <w:rsid w:val="0C3E1C6B"/>
    <w:rsid w:val="0C550884"/>
    <w:rsid w:val="0C790A16"/>
    <w:rsid w:val="0C8D0553"/>
    <w:rsid w:val="0C994F52"/>
    <w:rsid w:val="0CB6160D"/>
    <w:rsid w:val="0D4A231C"/>
    <w:rsid w:val="0DBA0DC1"/>
    <w:rsid w:val="0DCE605A"/>
    <w:rsid w:val="0DD203DE"/>
    <w:rsid w:val="0E5158C5"/>
    <w:rsid w:val="0E772D33"/>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2076B2"/>
    <w:rsid w:val="114859F3"/>
    <w:rsid w:val="11DD1A47"/>
    <w:rsid w:val="11EE155E"/>
    <w:rsid w:val="120B475C"/>
    <w:rsid w:val="12554B29"/>
    <w:rsid w:val="1299771C"/>
    <w:rsid w:val="12AD3E7D"/>
    <w:rsid w:val="12C42FA0"/>
    <w:rsid w:val="12D35C61"/>
    <w:rsid w:val="12E0359D"/>
    <w:rsid w:val="12EA2F1A"/>
    <w:rsid w:val="130558D9"/>
    <w:rsid w:val="13424E21"/>
    <w:rsid w:val="134F0723"/>
    <w:rsid w:val="137F545A"/>
    <w:rsid w:val="13801D6F"/>
    <w:rsid w:val="13841A7B"/>
    <w:rsid w:val="138B759A"/>
    <w:rsid w:val="13B16CE7"/>
    <w:rsid w:val="13F46315"/>
    <w:rsid w:val="140D076E"/>
    <w:rsid w:val="140E2407"/>
    <w:rsid w:val="14101C60"/>
    <w:rsid w:val="141F1F10"/>
    <w:rsid w:val="14611714"/>
    <w:rsid w:val="14757D15"/>
    <w:rsid w:val="149C34F4"/>
    <w:rsid w:val="14CF05AD"/>
    <w:rsid w:val="14CF3275"/>
    <w:rsid w:val="14E8356B"/>
    <w:rsid w:val="14EB3F48"/>
    <w:rsid w:val="14FD41CB"/>
    <w:rsid w:val="15546C2C"/>
    <w:rsid w:val="1582093B"/>
    <w:rsid w:val="158240BB"/>
    <w:rsid w:val="158A77F0"/>
    <w:rsid w:val="160D5A33"/>
    <w:rsid w:val="160E7D98"/>
    <w:rsid w:val="164B77DE"/>
    <w:rsid w:val="164E5E0B"/>
    <w:rsid w:val="17532A55"/>
    <w:rsid w:val="17932EDC"/>
    <w:rsid w:val="17A36DDB"/>
    <w:rsid w:val="17A532AB"/>
    <w:rsid w:val="17EC4792"/>
    <w:rsid w:val="180B07AE"/>
    <w:rsid w:val="181A2360"/>
    <w:rsid w:val="181F4708"/>
    <w:rsid w:val="18221462"/>
    <w:rsid w:val="184F1121"/>
    <w:rsid w:val="185B2A86"/>
    <w:rsid w:val="1876405C"/>
    <w:rsid w:val="188102A5"/>
    <w:rsid w:val="18C66253"/>
    <w:rsid w:val="18CD5743"/>
    <w:rsid w:val="197B50D2"/>
    <w:rsid w:val="19926875"/>
    <w:rsid w:val="19AB43AE"/>
    <w:rsid w:val="1A297DDD"/>
    <w:rsid w:val="1A7919B9"/>
    <w:rsid w:val="1B1350D9"/>
    <w:rsid w:val="1B9A7C0E"/>
    <w:rsid w:val="1B9B203B"/>
    <w:rsid w:val="1BF14125"/>
    <w:rsid w:val="1BFD1CC9"/>
    <w:rsid w:val="1C96385A"/>
    <w:rsid w:val="1CE92F5C"/>
    <w:rsid w:val="1D437979"/>
    <w:rsid w:val="1D4708B1"/>
    <w:rsid w:val="1D656164"/>
    <w:rsid w:val="1E0C16EA"/>
    <w:rsid w:val="1E8900BD"/>
    <w:rsid w:val="1E9046DD"/>
    <w:rsid w:val="1EB51D36"/>
    <w:rsid w:val="1ECB269E"/>
    <w:rsid w:val="1EE66C3C"/>
    <w:rsid w:val="1EF96BEA"/>
    <w:rsid w:val="1F062C30"/>
    <w:rsid w:val="1F116510"/>
    <w:rsid w:val="1F1C3B7B"/>
    <w:rsid w:val="1F3E1D77"/>
    <w:rsid w:val="1F9D6372"/>
    <w:rsid w:val="1FC85AE5"/>
    <w:rsid w:val="200551AB"/>
    <w:rsid w:val="205932DE"/>
    <w:rsid w:val="20A03801"/>
    <w:rsid w:val="20BC5FF2"/>
    <w:rsid w:val="20D02EA3"/>
    <w:rsid w:val="20D67D8D"/>
    <w:rsid w:val="212370E2"/>
    <w:rsid w:val="21676C37"/>
    <w:rsid w:val="21701F90"/>
    <w:rsid w:val="217C0935"/>
    <w:rsid w:val="219D4F8D"/>
    <w:rsid w:val="222807B1"/>
    <w:rsid w:val="22312968"/>
    <w:rsid w:val="22435D4E"/>
    <w:rsid w:val="2245419D"/>
    <w:rsid w:val="22C40301"/>
    <w:rsid w:val="22FE317D"/>
    <w:rsid w:val="237704D4"/>
    <w:rsid w:val="23891077"/>
    <w:rsid w:val="23A1558C"/>
    <w:rsid w:val="23BD2034"/>
    <w:rsid w:val="23BE50B1"/>
    <w:rsid w:val="23D902C0"/>
    <w:rsid w:val="2422161E"/>
    <w:rsid w:val="246E6851"/>
    <w:rsid w:val="24942E5E"/>
    <w:rsid w:val="24954F65"/>
    <w:rsid w:val="24C7511E"/>
    <w:rsid w:val="25207829"/>
    <w:rsid w:val="257F04AC"/>
    <w:rsid w:val="25E20F82"/>
    <w:rsid w:val="25E53B95"/>
    <w:rsid w:val="25EB17AB"/>
    <w:rsid w:val="25FF1317"/>
    <w:rsid w:val="26487E8F"/>
    <w:rsid w:val="266362EA"/>
    <w:rsid w:val="26791D53"/>
    <w:rsid w:val="268A5041"/>
    <w:rsid w:val="269A59A1"/>
    <w:rsid w:val="26D96305"/>
    <w:rsid w:val="26E96527"/>
    <w:rsid w:val="27293F76"/>
    <w:rsid w:val="275642B6"/>
    <w:rsid w:val="279369D8"/>
    <w:rsid w:val="2797346E"/>
    <w:rsid w:val="27984D8A"/>
    <w:rsid w:val="27CC625C"/>
    <w:rsid w:val="27FC632B"/>
    <w:rsid w:val="27FF1758"/>
    <w:rsid w:val="28026E78"/>
    <w:rsid w:val="28100029"/>
    <w:rsid w:val="28406D20"/>
    <w:rsid w:val="285745A9"/>
    <w:rsid w:val="28604488"/>
    <w:rsid w:val="287F60B2"/>
    <w:rsid w:val="28AF15F0"/>
    <w:rsid w:val="29696297"/>
    <w:rsid w:val="297011FE"/>
    <w:rsid w:val="29982084"/>
    <w:rsid w:val="29CA2459"/>
    <w:rsid w:val="29CA4207"/>
    <w:rsid w:val="29F90436"/>
    <w:rsid w:val="29FF1B5A"/>
    <w:rsid w:val="2A254E63"/>
    <w:rsid w:val="2A275D31"/>
    <w:rsid w:val="2A30050E"/>
    <w:rsid w:val="2A695ED5"/>
    <w:rsid w:val="2AE168E0"/>
    <w:rsid w:val="2B2F33CE"/>
    <w:rsid w:val="2B762790"/>
    <w:rsid w:val="2BAC2B14"/>
    <w:rsid w:val="2BC5737C"/>
    <w:rsid w:val="2BC73FBA"/>
    <w:rsid w:val="2BFF60E5"/>
    <w:rsid w:val="2C0042E3"/>
    <w:rsid w:val="2C0D59AC"/>
    <w:rsid w:val="2C2D5D74"/>
    <w:rsid w:val="2C334F61"/>
    <w:rsid w:val="2C3D20DB"/>
    <w:rsid w:val="2C71221F"/>
    <w:rsid w:val="2C715093"/>
    <w:rsid w:val="2CCA4D7E"/>
    <w:rsid w:val="2CF75D34"/>
    <w:rsid w:val="2DBB2B94"/>
    <w:rsid w:val="2DDB0952"/>
    <w:rsid w:val="2E0221C2"/>
    <w:rsid w:val="2E0C46C8"/>
    <w:rsid w:val="2E291E44"/>
    <w:rsid w:val="2E2A738E"/>
    <w:rsid w:val="2E4A0CBE"/>
    <w:rsid w:val="2EAB46F5"/>
    <w:rsid w:val="2EC6420A"/>
    <w:rsid w:val="2EF3059D"/>
    <w:rsid w:val="2EFE6E2D"/>
    <w:rsid w:val="2F0B5753"/>
    <w:rsid w:val="2F1C3DF2"/>
    <w:rsid w:val="2F2C0A85"/>
    <w:rsid w:val="2F414FFF"/>
    <w:rsid w:val="2F5B427F"/>
    <w:rsid w:val="2F8D5831"/>
    <w:rsid w:val="2FA6445E"/>
    <w:rsid w:val="2FAC25DB"/>
    <w:rsid w:val="2FAF3097"/>
    <w:rsid w:val="2FB617C0"/>
    <w:rsid w:val="2FE04785"/>
    <w:rsid w:val="2FE34275"/>
    <w:rsid w:val="2FEA115F"/>
    <w:rsid w:val="300C6664"/>
    <w:rsid w:val="30450B4E"/>
    <w:rsid w:val="30465275"/>
    <w:rsid w:val="30E03B8F"/>
    <w:rsid w:val="31061102"/>
    <w:rsid w:val="31A04CAD"/>
    <w:rsid w:val="31A70211"/>
    <w:rsid w:val="31B15053"/>
    <w:rsid w:val="320A79AF"/>
    <w:rsid w:val="3256082B"/>
    <w:rsid w:val="327D7E69"/>
    <w:rsid w:val="32826152"/>
    <w:rsid w:val="32E60304"/>
    <w:rsid w:val="32EC51EE"/>
    <w:rsid w:val="33116010"/>
    <w:rsid w:val="331546C4"/>
    <w:rsid w:val="33353039"/>
    <w:rsid w:val="3353526D"/>
    <w:rsid w:val="33656AA9"/>
    <w:rsid w:val="33782EB9"/>
    <w:rsid w:val="33A16094"/>
    <w:rsid w:val="33E6234B"/>
    <w:rsid w:val="33F80618"/>
    <w:rsid w:val="34012F1B"/>
    <w:rsid w:val="340E49EF"/>
    <w:rsid w:val="3465554A"/>
    <w:rsid w:val="34983DE3"/>
    <w:rsid w:val="34A64D07"/>
    <w:rsid w:val="34B10AAC"/>
    <w:rsid w:val="34BF6C35"/>
    <w:rsid w:val="34F5635F"/>
    <w:rsid w:val="354811BC"/>
    <w:rsid w:val="35521A2B"/>
    <w:rsid w:val="355E472E"/>
    <w:rsid w:val="35786D81"/>
    <w:rsid w:val="359E40E8"/>
    <w:rsid w:val="35B115EA"/>
    <w:rsid w:val="35B6074D"/>
    <w:rsid w:val="35C22B6B"/>
    <w:rsid w:val="35DC154A"/>
    <w:rsid w:val="35EA737B"/>
    <w:rsid w:val="36386888"/>
    <w:rsid w:val="36706ADF"/>
    <w:rsid w:val="367F3D26"/>
    <w:rsid w:val="36833C5C"/>
    <w:rsid w:val="36A129F2"/>
    <w:rsid w:val="36B3095D"/>
    <w:rsid w:val="36B64E3E"/>
    <w:rsid w:val="36D22597"/>
    <w:rsid w:val="36DF6315"/>
    <w:rsid w:val="36E36908"/>
    <w:rsid w:val="371719A6"/>
    <w:rsid w:val="371E35B2"/>
    <w:rsid w:val="37564D03"/>
    <w:rsid w:val="37751EC2"/>
    <w:rsid w:val="37C77C1E"/>
    <w:rsid w:val="37DA1A2D"/>
    <w:rsid w:val="388010B8"/>
    <w:rsid w:val="38DB1F8D"/>
    <w:rsid w:val="38FA6DBA"/>
    <w:rsid w:val="390E5CB1"/>
    <w:rsid w:val="39474657"/>
    <w:rsid w:val="394E2214"/>
    <w:rsid w:val="399545D1"/>
    <w:rsid w:val="399860D0"/>
    <w:rsid w:val="399A1E48"/>
    <w:rsid w:val="39A10C32"/>
    <w:rsid w:val="39CC7911"/>
    <w:rsid w:val="39D363E7"/>
    <w:rsid w:val="39E44839"/>
    <w:rsid w:val="3A457B72"/>
    <w:rsid w:val="3A4A2286"/>
    <w:rsid w:val="3AA6726B"/>
    <w:rsid w:val="3ADB2718"/>
    <w:rsid w:val="3AE82075"/>
    <w:rsid w:val="3AE8273F"/>
    <w:rsid w:val="3B017FBE"/>
    <w:rsid w:val="3B307A72"/>
    <w:rsid w:val="3B9335A4"/>
    <w:rsid w:val="3B992613"/>
    <w:rsid w:val="3BB24F73"/>
    <w:rsid w:val="3BCD490E"/>
    <w:rsid w:val="3BDB6726"/>
    <w:rsid w:val="3C056780"/>
    <w:rsid w:val="3C0B3B20"/>
    <w:rsid w:val="3C1860E9"/>
    <w:rsid w:val="3C265FAB"/>
    <w:rsid w:val="3C45620B"/>
    <w:rsid w:val="3D0E0B83"/>
    <w:rsid w:val="3D7312A1"/>
    <w:rsid w:val="3D8F2FFE"/>
    <w:rsid w:val="3D8F779B"/>
    <w:rsid w:val="3DB31849"/>
    <w:rsid w:val="3E0B0C1F"/>
    <w:rsid w:val="3E15702B"/>
    <w:rsid w:val="3E247857"/>
    <w:rsid w:val="3E984240"/>
    <w:rsid w:val="3EAD34C3"/>
    <w:rsid w:val="3EBE7C37"/>
    <w:rsid w:val="3EF43DA9"/>
    <w:rsid w:val="3F120426"/>
    <w:rsid w:val="3F1976B6"/>
    <w:rsid w:val="3F5E6431"/>
    <w:rsid w:val="3F823162"/>
    <w:rsid w:val="3F8834DC"/>
    <w:rsid w:val="3F8C0907"/>
    <w:rsid w:val="3F9B5E29"/>
    <w:rsid w:val="400454FD"/>
    <w:rsid w:val="400E49F6"/>
    <w:rsid w:val="40552C1F"/>
    <w:rsid w:val="4057229F"/>
    <w:rsid w:val="405F7DEE"/>
    <w:rsid w:val="40992FB0"/>
    <w:rsid w:val="40DB7824"/>
    <w:rsid w:val="410115DD"/>
    <w:rsid w:val="4111286F"/>
    <w:rsid w:val="418A21AD"/>
    <w:rsid w:val="41A212A1"/>
    <w:rsid w:val="41EC42BB"/>
    <w:rsid w:val="4239228E"/>
    <w:rsid w:val="427D4980"/>
    <w:rsid w:val="428A1304"/>
    <w:rsid w:val="42E44C98"/>
    <w:rsid w:val="431B6113"/>
    <w:rsid w:val="4368266F"/>
    <w:rsid w:val="438834DF"/>
    <w:rsid w:val="43A20A3C"/>
    <w:rsid w:val="440B4462"/>
    <w:rsid w:val="444C66C3"/>
    <w:rsid w:val="445D419E"/>
    <w:rsid w:val="44630F9F"/>
    <w:rsid w:val="446A3603"/>
    <w:rsid w:val="45062140"/>
    <w:rsid w:val="451900C5"/>
    <w:rsid w:val="458B573C"/>
    <w:rsid w:val="45A4118B"/>
    <w:rsid w:val="45CE60A3"/>
    <w:rsid w:val="461C57E1"/>
    <w:rsid w:val="464D2106"/>
    <w:rsid w:val="46572A53"/>
    <w:rsid w:val="465B2718"/>
    <w:rsid w:val="46651F6D"/>
    <w:rsid w:val="46BD2CD2"/>
    <w:rsid w:val="46BE763A"/>
    <w:rsid w:val="46C178CC"/>
    <w:rsid w:val="46F31024"/>
    <w:rsid w:val="46FD3AFE"/>
    <w:rsid w:val="471E0A34"/>
    <w:rsid w:val="4723739A"/>
    <w:rsid w:val="47250EF5"/>
    <w:rsid w:val="476F081E"/>
    <w:rsid w:val="47C21415"/>
    <w:rsid w:val="48206AB3"/>
    <w:rsid w:val="4849652E"/>
    <w:rsid w:val="487415C1"/>
    <w:rsid w:val="48813383"/>
    <w:rsid w:val="48994869"/>
    <w:rsid w:val="489B6E47"/>
    <w:rsid w:val="48B91344"/>
    <w:rsid w:val="48C3403D"/>
    <w:rsid w:val="48D36794"/>
    <w:rsid w:val="4901682D"/>
    <w:rsid w:val="491F1E3E"/>
    <w:rsid w:val="497D2A83"/>
    <w:rsid w:val="497E4D40"/>
    <w:rsid w:val="498D6EB3"/>
    <w:rsid w:val="49A14844"/>
    <w:rsid w:val="49A40179"/>
    <w:rsid w:val="4A38329E"/>
    <w:rsid w:val="4A722025"/>
    <w:rsid w:val="4A786E7C"/>
    <w:rsid w:val="4A812037"/>
    <w:rsid w:val="4ABF0429"/>
    <w:rsid w:val="4AFD0668"/>
    <w:rsid w:val="4B05514E"/>
    <w:rsid w:val="4B7D224D"/>
    <w:rsid w:val="4B88354F"/>
    <w:rsid w:val="4B897577"/>
    <w:rsid w:val="4BA739F3"/>
    <w:rsid w:val="4BAA41B4"/>
    <w:rsid w:val="4BCA5B3F"/>
    <w:rsid w:val="4BCB2F27"/>
    <w:rsid w:val="4BEF3793"/>
    <w:rsid w:val="4BF4339D"/>
    <w:rsid w:val="4C6F3B36"/>
    <w:rsid w:val="4C8B29AF"/>
    <w:rsid w:val="4CA010BB"/>
    <w:rsid w:val="4CBA3F1B"/>
    <w:rsid w:val="4CC1550E"/>
    <w:rsid w:val="4CCB5B06"/>
    <w:rsid w:val="4D0A37F3"/>
    <w:rsid w:val="4D380018"/>
    <w:rsid w:val="4D585803"/>
    <w:rsid w:val="4D665494"/>
    <w:rsid w:val="4D7D0483"/>
    <w:rsid w:val="4D8712EF"/>
    <w:rsid w:val="4DFC778B"/>
    <w:rsid w:val="4E281379"/>
    <w:rsid w:val="4E2D0EEC"/>
    <w:rsid w:val="4E4C4964"/>
    <w:rsid w:val="4E5F365E"/>
    <w:rsid w:val="4E91728C"/>
    <w:rsid w:val="4EF42EFE"/>
    <w:rsid w:val="4FDE358A"/>
    <w:rsid w:val="501832A3"/>
    <w:rsid w:val="5019366F"/>
    <w:rsid w:val="50632B28"/>
    <w:rsid w:val="50C63B0F"/>
    <w:rsid w:val="50F36C04"/>
    <w:rsid w:val="51011AC0"/>
    <w:rsid w:val="51086CD3"/>
    <w:rsid w:val="511B035E"/>
    <w:rsid w:val="512B6610"/>
    <w:rsid w:val="516052CE"/>
    <w:rsid w:val="517A3160"/>
    <w:rsid w:val="51D53FD0"/>
    <w:rsid w:val="527F0375"/>
    <w:rsid w:val="52846D9A"/>
    <w:rsid w:val="528D4348"/>
    <w:rsid w:val="52BF3EA5"/>
    <w:rsid w:val="52E5462F"/>
    <w:rsid w:val="52FC4B82"/>
    <w:rsid w:val="53030193"/>
    <w:rsid w:val="531427EC"/>
    <w:rsid w:val="531C785E"/>
    <w:rsid w:val="533770C8"/>
    <w:rsid w:val="5338243A"/>
    <w:rsid w:val="53AF7E46"/>
    <w:rsid w:val="53B73231"/>
    <w:rsid w:val="53BD0CC2"/>
    <w:rsid w:val="53E84DC7"/>
    <w:rsid w:val="54091EFA"/>
    <w:rsid w:val="543B42DA"/>
    <w:rsid w:val="54481E7C"/>
    <w:rsid w:val="549A2107"/>
    <w:rsid w:val="54E64A90"/>
    <w:rsid w:val="54EF1C22"/>
    <w:rsid w:val="54F43EB0"/>
    <w:rsid w:val="55025399"/>
    <w:rsid w:val="55287EB0"/>
    <w:rsid w:val="55631682"/>
    <w:rsid w:val="55913DE9"/>
    <w:rsid w:val="55B36956"/>
    <w:rsid w:val="55BC0A87"/>
    <w:rsid w:val="55C44EE3"/>
    <w:rsid w:val="55CD6DBF"/>
    <w:rsid w:val="55D409AB"/>
    <w:rsid w:val="55D50038"/>
    <w:rsid w:val="55DA058E"/>
    <w:rsid w:val="560E70A6"/>
    <w:rsid w:val="564C33E3"/>
    <w:rsid w:val="5658388A"/>
    <w:rsid w:val="565A5E3A"/>
    <w:rsid w:val="567535C9"/>
    <w:rsid w:val="569D1EDD"/>
    <w:rsid w:val="56AA311A"/>
    <w:rsid w:val="56B357D4"/>
    <w:rsid w:val="576B630C"/>
    <w:rsid w:val="57906076"/>
    <w:rsid w:val="57D02238"/>
    <w:rsid w:val="57F77E8D"/>
    <w:rsid w:val="584101D8"/>
    <w:rsid w:val="584366A5"/>
    <w:rsid w:val="58464AEC"/>
    <w:rsid w:val="58474AF1"/>
    <w:rsid w:val="58D37D03"/>
    <w:rsid w:val="58F80B81"/>
    <w:rsid w:val="59171D29"/>
    <w:rsid w:val="591C43EB"/>
    <w:rsid w:val="594B64BC"/>
    <w:rsid w:val="59C1394B"/>
    <w:rsid w:val="59E4333B"/>
    <w:rsid w:val="5A327175"/>
    <w:rsid w:val="5A461F67"/>
    <w:rsid w:val="5A4D12DB"/>
    <w:rsid w:val="5AA95942"/>
    <w:rsid w:val="5B9A1A90"/>
    <w:rsid w:val="5BB71F8E"/>
    <w:rsid w:val="5BEA616D"/>
    <w:rsid w:val="5C620610"/>
    <w:rsid w:val="5C79137C"/>
    <w:rsid w:val="5C7C27CC"/>
    <w:rsid w:val="5C8E6646"/>
    <w:rsid w:val="5CA1473C"/>
    <w:rsid w:val="5D743AF2"/>
    <w:rsid w:val="5D784DB7"/>
    <w:rsid w:val="5D804113"/>
    <w:rsid w:val="5D8440F2"/>
    <w:rsid w:val="5D86298B"/>
    <w:rsid w:val="5DF574B1"/>
    <w:rsid w:val="5E01598A"/>
    <w:rsid w:val="5E0518AE"/>
    <w:rsid w:val="5E7319C7"/>
    <w:rsid w:val="5EFA0A88"/>
    <w:rsid w:val="5F3F14B1"/>
    <w:rsid w:val="5F4A1944"/>
    <w:rsid w:val="5F69359F"/>
    <w:rsid w:val="5F736A1C"/>
    <w:rsid w:val="5F7C1524"/>
    <w:rsid w:val="61431576"/>
    <w:rsid w:val="61B07674"/>
    <w:rsid w:val="61D16983"/>
    <w:rsid w:val="63AB7D0D"/>
    <w:rsid w:val="63B16DA6"/>
    <w:rsid w:val="64325BAA"/>
    <w:rsid w:val="6474563E"/>
    <w:rsid w:val="64DD2E2F"/>
    <w:rsid w:val="64F34037"/>
    <w:rsid w:val="650C79CC"/>
    <w:rsid w:val="651F0B40"/>
    <w:rsid w:val="654A3BA1"/>
    <w:rsid w:val="65720792"/>
    <w:rsid w:val="65727ED4"/>
    <w:rsid w:val="658D11B9"/>
    <w:rsid w:val="65A15618"/>
    <w:rsid w:val="660467A7"/>
    <w:rsid w:val="664663E8"/>
    <w:rsid w:val="66471D7C"/>
    <w:rsid w:val="667D6EFB"/>
    <w:rsid w:val="6694184A"/>
    <w:rsid w:val="66E91E38"/>
    <w:rsid w:val="66FD7813"/>
    <w:rsid w:val="67825ED9"/>
    <w:rsid w:val="67A0385B"/>
    <w:rsid w:val="67B37940"/>
    <w:rsid w:val="67B727B2"/>
    <w:rsid w:val="67ED666C"/>
    <w:rsid w:val="680145CE"/>
    <w:rsid w:val="682E35D8"/>
    <w:rsid w:val="686C2A53"/>
    <w:rsid w:val="689C4BB9"/>
    <w:rsid w:val="68A245E2"/>
    <w:rsid w:val="68B0544A"/>
    <w:rsid w:val="690F3CAF"/>
    <w:rsid w:val="696279DD"/>
    <w:rsid w:val="6A0C28CE"/>
    <w:rsid w:val="6A650A4D"/>
    <w:rsid w:val="6A6F1F77"/>
    <w:rsid w:val="6B7060C6"/>
    <w:rsid w:val="6BCC7390"/>
    <w:rsid w:val="6C60029B"/>
    <w:rsid w:val="6C727F37"/>
    <w:rsid w:val="6C81017A"/>
    <w:rsid w:val="6C927168"/>
    <w:rsid w:val="6D8C5247"/>
    <w:rsid w:val="6DB97DE8"/>
    <w:rsid w:val="6DE9247B"/>
    <w:rsid w:val="6DEA7FA1"/>
    <w:rsid w:val="6E904287"/>
    <w:rsid w:val="6EA83056"/>
    <w:rsid w:val="6EB55F1D"/>
    <w:rsid w:val="6EBD30EB"/>
    <w:rsid w:val="6EBE51FD"/>
    <w:rsid w:val="6EF364B6"/>
    <w:rsid w:val="6F0B4673"/>
    <w:rsid w:val="6F2540A9"/>
    <w:rsid w:val="6FE221EA"/>
    <w:rsid w:val="700B56BF"/>
    <w:rsid w:val="700F5C73"/>
    <w:rsid w:val="70817FC6"/>
    <w:rsid w:val="70AF0E0B"/>
    <w:rsid w:val="70C87CAA"/>
    <w:rsid w:val="70CF179B"/>
    <w:rsid w:val="70D34D1C"/>
    <w:rsid w:val="70FB2081"/>
    <w:rsid w:val="71072C18"/>
    <w:rsid w:val="7128150C"/>
    <w:rsid w:val="71723BF8"/>
    <w:rsid w:val="719F2528"/>
    <w:rsid w:val="71B459C5"/>
    <w:rsid w:val="71CB4143"/>
    <w:rsid w:val="71E573FD"/>
    <w:rsid w:val="721C092E"/>
    <w:rsid w:val="723D7934"/>
    <w:rsid w:val="72461E37"/>
    <w:rsid w:val="727266B8"/>
    <w:rsid w:val="72804A5F"/>
    <w:rsid w:val="72C81D24"/>
    <w:rsid w:val="730C2768"/>
    <w:rsid w:val="731955B0"/>
    <w:rsid w:val="73510736"/>
    <w:rsid w:val="73772C48"/>
    <w:rsid w:val="73B34B68"/>
    <w:rsid w:val="73B61051"/>
    <w:rsid w:val="73C87749"/>
    <w:rsid w:val="742D20BE"/>
    <w:rsid w:val="74300B51"/>
    <w:rsid w:val="74373E1F"/>
    <w:rsid w:val="74557B08"/>
    <w:rsid w:val="745909D3"/>
    <w:rsid w:val="74757604"/>
    <w:rsid w:val="756026FD"/>
    <w:rsid w:val="757027FD"/>
    <w:rsid w:val="757C4934"/>
    <w:rsid w:val="758E19B0"/>
    <w:rsid w:val="764C7835"/>
    <w:rsid w:val="76606237"/>
    <w:rsid w:val="76BC0040"/>
    <w:rsid w:val="76E97240"/>
    <w:rsid w:val="76FD6F97"/>
    <w:rsid w:val="77030187"/>
    <w:rsid w:val="77505319"/>
    <w:rsid w:val="77547F95"/>
    <w:rsid w:val="77581BDC"/>
    <w:rsid w:val="776E39F1"/>
    <w:rsid w:val="77DF77F2"/>
    <w:rsid w:val="77F53FBA"/>
    <w:rsid w:val="77FE3901"/>
    <w:rsid w:val="78A056D5"/>
    <w:rsid w:val="78B612F9"/>
    <w:rsid w:val="78B86F01"/>
    <w:rsid w:val="78BD180A"/>
    <w:rsid w:val="78BD2213"/>
    <w:rsid w:val="78CA62AD"/>
    <w:rsid w:val="79383F91"/>
    <w:rsid w:val="795310F0"/>
    <w:rsid w:val="796C56F2"/>
    <w:rsid w:val="79C45B4A"/>
    <w:rsid w:val="79DA4CD9"/>
    <w:rsid w:val="79DC3C10"/>
    <w:rsid w:val="79F32D29"/>
    <w:rsid w:val="7A3031E0"/>
    <w:rsid w:val="7A5F3AF6"/>
    <w:rsid w:val="7A640644"/>
    <w:rsid w:val="7A66765A"/>
    <w:rsid w:val="7AB07AB2"/>
    <w:rsid w:val="7B1D19B6"/>
    <w:rsid w:val="7B375CF7"/>
    <w:rsid w:val="7B6D389F"/>
    <w:rsid w:val="7B7C3CE3"/>
    <w:rsid w:val="7B84301F"/>
    <w:rsid w:val="7B937DA9"/>
    <w:rsid w:val="7BB813CF"/>
    <w:rsid w:val="7BFB159A"/>
    <w:rsid w:val="7C240326"/>
    <w:rsid w:val="7C5365EF"/>
    <w:rsid w:val="7C5F4A2B"/>
    <w:rsid w:val="7C613B24"/>
    <w:rsid w:val="7C6E6F9B"/>
    <w:rsid w:val="7C724B1A"/>
    <w:rsid w:val="7CEC1AF5"/>
    <w:rsid w:val="7D6C5BAD"/>
    <w:rsid w:val="7DDB79A8"/>
    <w:rsid w:val="7DE6477E"/>
    <w:rsid w:val="7DF966B6"/>
    <w:rsid w:val="7E17286F"/>
    <w:rsid w:val="7E265B35"/>
    <w:rsid w:val="7E395726"/>
    <w:rsid w:val="7E54076D"/>
    <w:rsid w:val="7E836D97"/>
    <w:rsid w:val="7E8E73EF"/>
    <w:rsid w:val="7EF23A73"/>
    <w:rsid w:val="7F523D4E"/>
    <w:rsid w:val="7F7D4793"/>
    <w:rsid w:val="F3FD6B2F"/>
    <w:rsid w:val="F99F05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1882</Words>
  <Characters>1942</Characters>
  <Lines>16</Lines>
  <Paragraphs>4</Paragraphs>
  <TotalTime>26</TotalTime>
  <ScaleCrop>false</ScaleCrop>
  <LinksUpToDate>false</LinksUpToDate>
  <CharactersWithSpaces>1947</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2021-07-06T22:32:00Z</dcterms:created>
  <dc:creator>微软用户</dc:creator>
  <cp:lastModifiedBy>区民政局</cp:lastModifiedBy>
  <cp:lastPrinted>2025-08-14T16:19:00Z</cp:lastPrinted>
  <dcterms:modified xsi:type="dcterms:W3CDTF">2025-08-21T11:59:23Z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C5C051BE58ED47B681D748640379E264</vt:lpwstr>
  </property>
</Properties>
</file>