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AA2DF">
      <w:pPr>
        <w:spacing w:line="579" w:lineRule="exact"/>
        <w:jc w:val="center"/>
        <w:rPr>
          <w:rFonts w:ascii="宋体" w:hAnsi="宋体" w:eastAsia="方正小标宋_GBK" w:cs="方正小标宋_GBK"/>
          <w:sz w:val="44"/>
          <w:szCs w:val="44"/>
        </w:rPr>
      </w:pPr>
      <w:r>
        <w:rPr>
          <w:rFonts w:hint="eastAsia" w:ascii="宋体" w:hAnsi="宋体" w:eastAsia="方正小标宋_GBK" w:cs="方正小标宋_GBK"/>
          <w:sz w:val="44"/>
          <w:szCs w:val="44"/>
        </w:rPr>
        <w:t>重庆市江津区应急救援服务中心</w:t>
      </w:r>
    </w:p>
    <w:p w14:paraId="15537F58">
      <w:pPr>
        <w:spacing w:line="579" w:lineRule="exact"/>
        <w:jc w:val="center"/>
        <w:rPr>
          <w:rFonts w:ascii="宋体" w:hAnsi="宋体" w:eastAsia="方正小标宋_GBK" w:cs="方正小标宋_GBK"/>
          <w:sz w:val="44"/>
          <w:szCs w:val="44"/>
        </w:rPr>
      </w:pPr>
      <w:r>
        <w:rPr>
          <w:rFonts w:hint="eastAsia" w:ascii="宋体" w:hAnsi="宋体" w:eastAsia="方正小标宋_GBK" w:cs="方正小标宋_GBK"/>
          <w:sz w:val="44"/>
          <w:szCs w:val="44"/>
        </w:rPr>
        <w:t>2024年度决算公开说明</w:t>
      </w:r>
    </w:p>
    <w:p w14:paraId="7D54AF12">
      <w:pPr>
        <w:spacing w:line="579" w:lineRule="exact"/>
        <w:ind w:firstLine="1100" w:firstLineChars="250"/>
        <w:rPr>
          <w:rFonts w:ascii="宋体" w:hAnsi="宋体" w:eastAsia="方正仿宋_GBK" w:cs="方正仿宋_GBK"/>
          <w:sz w:val="44"/>
          <w:szCs w:val="44"/>
        </w:rPr>
      </w:pPr>
    </w:p>
    <w:p w14:paraId="22ECBE41">
      <w:pPr>
        <w:pStyle w:val="9"/>
        <w:keepNext w:val="0"/>
        <w:keepLines w:val="0"/>
        <w:pageBreakBefore w:val="0"/>
        <w:tabs>
          <w:tab w:val="center" w:pos="4153"/>
          <w:tab w:val="left" w:pos="7275"/>
        </w:tabs>
        <w:kinsoku/>
        <w:wordWrap/>
        <w:overflowPunct/>
        <w:topLinePunct w:val="0"/>
        <w:autoSpaceDN/>
        <w:bidi w:val="0"/>
        <w:spacing w:line="579" w:lineRule="exact"/>
        <w:ind w:firstLine="640" w:firstLineChars="200"/>
        <w:jc w:val="both"/>
        <w:textAlignment w:val="auto"/>
        <w:outlineLvl w:val="0"/>
        <w:rPr>
          <w:rFonts w:ascii="宋体" w:hAnsi="宋体" w:eastAsia="方正黑体_GBK" w:cs="方正黑体_GBK"/>
          <w:sz w:val="32"/>
          <w:szCs w:val="32"/>
        </w:rPr>
      </w:pPr>
      <w:r>
        <w:rPr>
          <w:rFonts w:hint="eastAsia" w:ascii="宋体" w:hAnsi="宋体" w:eastAsia="方正黑体_GBK" w:cs="方正黑体_GBK"/>
          <w:sz w:val="32"/>
          <w:szCs w:val="32"/>
        </w:rPr>
        <w:t>一、单位基本情况</w:t>
      </w:r>
    </w:p>
    <w:p w14:paraId="79798B2B">
      <w:pPr>
        <w:keepNext w:val="0"/>
        <w:keepLines w:val="0"/>
        <w:pageBreakBefore w:val="0"/>
        <w:kinsoku/>
        <w:wordWrap/>
        <w:overflowPunct/>
        <w:topLinePunct w:val="0"/>
        <w:autoSpaceDN/>
        <w:bidi w:val="0"/>
        <w:spacing w:line="579" w:lineRule="exact"/>
        <w:ind w:firstLine="640" w:firstLineChars="200"/>
        <w:jc w:val="both"/>
        <w:textAlignment w:val="auto"/>
        <w:outlineLvl w:val="1"/>
        <w:rPr>
          <w:rFonts w:ascii="宋体" w:hAnsi="宋体" w:eastAsia="方正楷体_GBK" w:cs="方正楷体_GBK"/>
          <w:kern w:val="0"/>
          <w:sz w:val="32"/>
          <w:szCs w:val="32"/>
        </w:rPr>
      </w:pPr>
      <w:r>
        <w:rPr>
          <w:rFonts w:hint="eastAsia" w:ascii="宋体" w:hAnsi="宋体" w:eastAsia="方正楷体_GBK" w:cs="方正楷体_GBK"/>
          <w:kern w:val="0"/>
          <w:sz w:val="32"/>
          <w:szCs w:val="32"/>
        </w:rPr>
        <w:t>（一）职能职责</w:t>
      </w:r>
    </w:p>
    <w:p w14:paraId="295D741D">
      <w:pPr>
        <w:keepNext w:val="0"/>
        <w:keepLines w:val="0"/>
        <w:pageBreakBefore w:val="0"/>
        <w:kinsoku/>
        <w:wordWrap/>
        <w:overflowPunct/>
        <w:topLinePunct w:val="0"/>
        <w:autoSpaceDN/>
        <w:bidi w:val="0"/>
        <w:spacing w:line="579" w:lineRule="exact"/>
        <w:ind w:firstLine="640" w:firstLineChars="200"/>
        <w:jc w:val="both"/>
        <w:textAlignment w:val="auto"/>
        <w:outlineLvl w:val="1"/>
        <w:rPr>
          <w:rFonts w:ascii="宋体" w:hAnsi="宋体" w:eastAsia="方正楷体_GBK" w:cs="方正楷体_GBK"/>
          <w:kern w:val="0"/>
          <w:sz w:val="32"/>
          <w:szCs w:val="32"/>
        </w:rPr>
      </w:pPr>
      <w:r>
        <w:rPr>
          <w:rFonts w:hint="eastAsia" w:ascii="方正仿宋_GBK" w:eastAsia="方正仿宋_GBK"/>
          <w:color w:val="000000"/>
          <w:sz w:val="32"/>
          <w:szCs w:val="32"/>
        </w:rPr>
        <w:t>承担全区事故灾难、自然灾害等突发事件的应急响应、应对调度、协调指挥、信息收集发布等方便的事务性和服务性工作。承担应急管理体制机制建设的具体事务性工作。协助主管部门开展辖区内生产安全事故救援的组织协调工作。承担全区安全生产风险分级管控、隐患排查和重大危险源综合管理的事务性工作。负责安全技术考试组织、信息管理、宣传教育等工作。开展地震监测、信息速报、预报研究工作。开展地震监测设施及观测环境的保护工作。负责地震安全生产监督管理具体事务性工作，协助开展重大工程和可能因地震产生严重次生灾害的工程的地震安全性评价和抗震设防要求的审查和监管工作。开展地震灾害应急救援和地震群测群防工作。开展防震减灾科普知识宣传教育工作。完成主管部门交办的其他工作任务。</w:t>
      </w:r>
    </w:p>
    <w:p w14:paraId="481C3F11">
      <w:pPr>
        <w:keepNext w:val="0"/>
        <w:keepLines w:val="0"/>
        <w:pageBreakBefore w:val="0"/>
        <w:kinsoku/>
        <w:wordWrap/>
        <w:overflowPunct/>
        <w:topLinePunct w:val="0"/>
        <w:autoSpaceDN/>
        <w:bidi w:val="0"/>
        <w:spacing w:line="579" w:lineRule="exact"/>
        <w:ind w:firstLine="640" w:firstLineChars="200"/>
        <w:jc w:val="both"/>
        <w:textAlignment w:val="auto"/>
        <w:outlineLvl w:val="1"/>
        <w:rPr>
          <w:rFonts w:ascii="宋体" w:hAnsi="宋体" w:eastAsia="方正楷体_GBK" w:cs="方正楷体_GBK"/>
          <w:kern w:val="0"/>
          <w:sz w:val="32"/>
          <w:szCs w:val="32"/>
        </w:rPr>
      </w:pPr>
      <w:r>
        <w:rPr>
          <w:rFonts w:hint="eastAsia" w:ascii="宋体" w:hAnsi="宋体" w:eastAsia="方正楷体_GBK" w:cs="方正楷体_GBK"/>
          <w:kern w:val="0"/>
          <w:sz w:val="32"/>
          <w:szCs w:val="32"/>
        </w:rPr>
        <w:t>（二）机构设置</w:t>
      </w:r>
    </w:p>
    <w:p w14:paraId="517985D9">
      <w:pPr>
        <w:keepNext w:val="0"/>
        <w:keepLines w:val="0"/>
        <w:pageBreakBefore w:val="0"/>
        <w:kinsoku/>
        <w:wordWrap/>
        <w:overflowPunct/>
        <w:topLinePunct w:val="0"/>
        <w:autoSpaceDN/>
        <w:bidi w:val="0"/>
        <w:spacing w:line="579" w:lineRule="exact"/>
        <w:ind w:firstLine="640" w:firstLineChars="200"/>
        <w:jc w:val="both"/>
        <w:textAlignment w:val="auto"/>
        <w:outlineLvl w:val="0"/>
        <w:rPr>
          <w:rFonts w:ascii="宋体" w:hAnsi="宋体" w:eastAsia="方正黑体_GBK" w:cs="方正黑体_GBK"/>
          <w:sz w:val="32"/>
          <w:szCs w:val="32"/>
        </w:rPr>
      </w:pPr>
      <w:r>
        <w:rPr>
          <w:rFonts w:hint="eastAsia" w:ascii="方正仿宋_GBK" w:eastAsia="方正仿宋_GBK" w:cs="仿宋_GB2312"/>
          <w:sz w:val="32"/>
          <w:szCs w:val="32"/>
        </w:rPr>
        <w:t>我单位是区应急管理局下属全额拨款处级事业单位，内设10个机构：综合科、协调科、</w:t>
      </w:r>
      <w:r>
        <w:rPr>
          <w:rFonts w:hint="eastAsia" w:ascii="宋体" w:hAnsi="宋体" w:eastAsia="方正仿宋_GBK" w:cs="方正仿宋_GBK"/>
          <w:color w:val="auto"/>
          <w:sz w:val="32"/>
          <w:szCs w:val="32"/>
          <w:lang w:val="en-US" w:eastAsia="zh-CN" w:bidi="ar-SA"/>
        </w:rPr>
        <w:t>应急装备和信息化科</w:t>
      </w:r>
      <w:r>
        <w:rPr>
          <w:rFonts w:hint="eastAsia" w:ascii="方正仿宋_GBK" w:eastAsia="方正仿宋_GBK" w:cs="仿宋_GB2312"/>
          <w:sz w:val="32"/>
          <w:szCs w:val="32"/>
        </w:rPr>
        <w:t>、救灾减灾科、防汛抗旱和地质灾害应急科、</w:t>
      </w:r>
      <w:r>
        <w:rPr>
          <w:rFonts w:hint="eastAsia" w:ascii="方正仿宋_GBK" w:eastAsia="方正仿宋_GBK" w:cs="仿宋_GB2312"/>
          <w:sz w:val="32"/>
          <w:szCs w:val="32"/>
          <w:lang w:val="en-US" w:eastAsia="zh-CN"/>
        </w:rPr>
        <w:t>防</w:t>
      </w:r>
      <w:r>
        <w:rPr>
          <w:rFonts w:hint="eastAsia" w:ascii="方正仿宋_GBK" w:eastAsia="方正仿宋_GBK" w:cs="仿宋_GB2312"/>
          <w:sz w:val="32"/>
          <w:szCs w:val="32"/>
        </w:rPr>
        <w:t>震减灾应急科、森林防火应急科、生产安全事故应急科、宣教科、安全生产资格管理科。人员编制37人，年末实有人数37人。</w:t>
      </w:r>
    </w:p>
    <w:p w14:paraId="392BBA2D">
      <w:pPr>
        <w:keepNext w:val="0"/>
        <w:keepLines w:val="0"/>
        <w:pageBreakBefore w:val="0"/>
        <w:kinsoku/>
        <w:wordWrap/>
        <w:overflowPunct/>
        <w:topLinePunct w:val="0"/>
        <w:autoSpaceDN/>
        <w:bidi w:val="0"/>
        <w:spacing w:line="579" w:lineRule="exact"/>
        <w:ind w:firstLine="640" w:firstLineChars="200"/>
        <w:jc w:val="both"/>
        <w:textAlignment w:val="auto"/>
        <w:outlineLvl w:val="0"/>
        <w:rPr>
          <w:rFonts w:ascii="宋体" w:hAnsi="宋体" w:eastAsia="方正黑体_GBK" w:cs="方正黑体_GBK"/>
          <w:sz w:val="32"/>
          <w:szCs w:val="32"/>
        </w:rPr>
      </w:pPr>
      <w:r>
        <w:rPr>
          <w:rFonts w:hint="eastAsia" w:ascii="宋体" w:hAnsi="宋体" w:eastAsia="方正黑体_GBK" w:cs="方正黑体_GBK"/>
          <w:sz w:val="32"/>
          <w:szCs w:val="32"/>
        </w:rPr>
        <w:t>二、单位决算情况</w:t>
      </w:r>
    </w:p>
    <w:p w14:paraId="6DA9A095">
      <w:pPr>
        <w:keepNext w:val="0"/>
        <w:keepLines w:val="0"/>
        <w:pageBreakBefore w:val="0"/>
        <w:kinsoku/>
        <w:wordWrap/>
        <w:overflowPunct/>
        <w:topLinePunct w:val="0"/>
        <w:autoSpaceDN/>
        <w:bidi w:val="0"/>
        <w:spacing w:line="579" w:lineRule="exact"/>
        <w:ind w:firstLine="640" w:firstLineChars="200"/>
        <w:jc w:val="both"/>
        <w:textAlignment w:val="auto"/>
        <w:outlineLvl w:val="1"/>
        <w:rPr>
          <w:rFonts w:ascii="宋体" w:hAnsi="宋体" w:eastAsia="方正楷体_GBK" w:cs="方正楷体_GBK"/>
          <w:sz w:val="32"/>
          <w:szCs w:val="32"/>
        </w:rPr>
      </w:pPr>
      <w:r>
        <w:rPr>
          <w:rFonts w:hint="eastAsia" w:ascii="宋体" w:hAnsi="宋体" w:eastAsia="方正楷体_GBK" w:cs="方正楷体_GBK"/>
          <w:sz w:val="32"/>
          <w:szCs w:val="32"/>
        </w:rPr>
        <w:t>（一）单位收支总体情况</w:t>
      </w:r>
    </w:p>
    <w:p w14:paraId="7CD695EA">
      <w:pPr>
        <w:keepNext w:val="0"/>
        <w:keepLines w:val="0"/>
        <w:pageBreakBefore w:val="0"/>
        <w:kinsoku/>
        <w:wordWrap/>
        <w:overflowPunct/>
        <w:topLinePunct w:val="0"/>
        <w:autoSpaceDN/>
        <w:bidi w:val="0"/>
        <w:spacing w:line="579" w:lineRule="exact"/>
        <w:ind w:firstLine="643" w:firstLineChars="200"/>
        <w:jc w:val="both"/>
        <w:textAlignment w:val="auto"/>
        <w:rPr>
          <w:rFonts w:ascii="宋体" w:hAnsi="宋体" w:eastAsia="方正仿宋_GBK" w:cs="方正仿宋_GBK"/>
          <w:b/>
          <w:bCs/>
          <w:sz w:val="32"/>
          <w:szCs w:val="32"/>
        </w:rPr>
      </w:pPr>
      <w:r>
        <w:rPr>
          <w:rFonts w:hint="eastAsia" w:ascii="宋体" w:hAnsi="宋体" w:eastAsia="方正仿宋_GBK" w:cs="方正仿宋_GBK"/>
          <w:b/>
          <w:bCs/>
          <w:sz w:val="32"/>
          <w:szCs w:val="32"/>
        </w:rPr>
        <w:t>1.收入支出总体情况。</w:t>
      </w:r>
      <w:r>
        <w:rPr>
          <w:rFonts w:hint="eastAsia" w:ascii="宋体" w:hAnsi="宋体" w:eastAsia="方正仿宋_GBK" w:cs="方正仿宋_GBK"/>
          <w:sz w:val="32"/>
          <w:szCs w:val="32"/>
        </w:rPr>
        <w:t>2024年度收入总计2114.96万元，支出总计2114.96万元。收支较上年减少83.83万元，</w:t>
      </w:r>
      <w:r>
        <w:rPr>
          <w:rFonts w:hint="eastAsia" w:ascii="宋体" w:hAnsi="宋体" w:eastAsia="方正仿宋_GBK" w:cs="方正仿宋_GBK"/>
          <w:sz w:val="32"/>
          <w:szCs w:val="32"/>
          <w:lang w:val="en-US" w:eastAsia="zh-CN"/>
        </w:rPr>
        <w:t>下降</w:t>
      </w:r>
      <w:r>
        <w:rPr>
          <w:rFonts w:hint="eastAsia" w:ascii="宋体" w:hAnsi="宋体" w:eastAsia="方正仿宋_GBK" w:cs="方正仿宋_GBK"/>
          <w:sz w:val="32"/>
          <w:szCs w:val="32"/>
        </w:rPr>
        <w:t>3.81%，主要原因是当年上级拨付自然灾害救灾资金比上年减少279万元，所以本年收支总量下降。</w:t>
      </w:r>
    </w:p>
    <w:p w14:paraId="67CC3FEE">
      <w:pPr>
        <w:keepNext w:val="0"/>
        <w:keepLines w:val="0"/>
        <w:pageBreakBefore w:val="0"/>
        <w:kinsoku/>
        <w:wordWrap/>
        <w:overflowPunct/>
        <w:topLinePunct w:val="0"/>
        <w:autoSpaceDN/>
        <w:bidi w:val="0"/>
        <w:spacing w:line="579" w:lineRule="exact"/>
        <w:ind w:firstLine="643" w:firstLineChars="200"/>
        <w:jc w:val="both"/>
        <w:textAlignment w:val="auto"/>
        <w:rPr>
          <w:rFonts w:ascii="宋体" w:hAnsi="宋体" w:eastAsia="方正仿宋_GBK" w:cs="方正仿宋_GBK"/>
          <w:b/>
          <w:bCs/>
          <w:sz w:val="32"/>
          <w:szCs w:val="32"/>
        </w:rPr>
      </w:pPr>
      <w:r>
        <w:rPr>
          <w:rFonts w:hint="eastAsia" w:ascii="宋体" w:hAnsi="宋体" w:eastAsia="方正仿宋_GBK" w:cs="方正仿宋_GBK"/>
          <w:b/>
          <w:bCs/>
          <w:sz w:val="32"/>
          <w:szCs w:val="32"/>
        </w:rPr>
        <w:t>2.收入情况。</w:t>
      </w:r>
      <w:r>
        <w:rPr>
          <w:rFonts w:hint="eastAsia" w:ascii="宋体" w:hAnsi="宋体" w:eastAsia="方正仿宋_GBK" w:cs="方正仿宋_GBK"/>
          <w:sz w:val="32"/>
          <w:szCs w:val="32"/>
        </w:rPr>
        <w:t>2024年度本年收入合计2114.96万元，较上年减少83.83万元，</w:t>
      </w:r>
      <w:r>
        <w:rPr>
          <w:rFonts w:hint="eastAsia" w:ascii="宋体" w:hAnsi="宋体" w:eastAsia="方正仿宋_GBK" w:cs="方正仿宋_GBK"/>
          <w:sz w:val="32"/>
          <w:szCs w:val="32"/>
          <w:lang w:val="en-US" w:eastAsia="zh-CN"/>
        </w:rPr>
        <w:t>下降</w:t>
      </w:r>
      <w:r>
        <w:rPr>
          <w:rFonts w:hint="eastAsia" w:ascii="宋体" w:hAnsi="宋体" w:eastAsia="方正仿宋_GBK" w:cs="方正仿宋_GBK"/>
          <w:sz w:val="32"/>
          <w:szCs w:val="32"/>
        </w:rPr>
        <w:t>3.81%，主要原因是当年上级拨付自然灾害救灾资金比上年减少，所以本年收入下降。其中：财政拨款收入2114.96万元，占比100%。</w:t>
      </w:r>
      <w:r>
        <w:rPr>
          <w:rFonts w:ascii="方正仿宋_GBK" w:hAnsi="方正仿宋_GBK" w:eastAsia="方正仿宋_GBK" w:cs="方正仿宋_GBK"/>
          <w:sz w:val="32"/>
          <w:szCs w:val="32"/>
          <w:shd w:val="clear" w:color="auto" w:fill="FFFFFF"/>
        </w:rPr>
        <w:t>此外，使用年初结转和结余</w:t>
      </w:r>
      <w:r>
        <w:rPr>
          <w:rFonts w:hint="eastAsia"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49BC8C5C">
      <w:pPr>
        <w:keepNext w:val="0"/>
        <w:keepLines w:val="0"/>
        <w:pageBreakBefore w:val="0"/>
        <w:kinsoku/>
        <w:wordWrap/>
        <w:overflowPunct/>
        <w:topLinePunct w:val="0"/>
        <w:autoSpaceDN/>
        <w:bidi w:val="0"/>
        <w:spacing w:line="579" w:lineRule="exact"/>
        <w:ind w:firstLine="643" w:firstLineChars="200"/>
        <w:jc w:val="both"/>
        <w:textAlignment w:val="auto"/>
        <w:rPr>
          <w:rFonts w:ascii="宋体" w:hAnsi="宋体" w:eastAsia="方正仿宋_GBK" w:cs="方正仿宋_GBK"/>
          <w:b/>
          <w:bCs/>
          <w:sz w:val="32"/>
          <w:szCs w:val="32"/>
        </w:rPr>
      </w:pPr>
      <w:r>
        <w:rPr>
          <w:rFonts w:hint="eastAsia" w:ascii="宋体" w:hAnsi="宋体" w:eastAsia="方正仿宋_GBK" w:cs="方正仿宋_GBK"/>
          <w:b/>
          <w:bCs/>
          <w:sz w:val="32"/>
          <w:szCs w:val="32"/>
        </w:rPr>
        <w:t>3.支出情况。</w:t>
      </w:r>
      <w:r>
        <w:rPr>
          <w:rFonts w:hint="eastAsia" w:ascii="宋体" w:hAnsi="宋体" w:eastAsia="方正仿宋_GBK" w:cs="方正仿宋_GBK"/>
          <w:sz w:val="32"/>
          <w:szCs w:val="32"/>
        </w:rPr>
        <w:t>2024年度本年支出合计2114.96万元，较上年减少83.83万元，</w:t>
      </w:r>
      <w:r>
        <w:rPr>
          <w:rFonts w:hint="eastAsia" w:ascii="宋体" w:hAnsi="宋体" w:eastAsia="方正仿宋_GBK" w:cs="方正仿宋_GBK"/>
          <w:sz w:val="32"/>
          <w:szCs w:val="32"/>
          <w:lang w:val="en-US" w:eastAsia="zh-CN"/>
        </w:rPr>
        <w:t>下降</w:t>
      </w:r>
      <w:r>
        <w:rPr>
          <w:rFonts w:hint="eastAsia" w:ascii="宋体" w:hAnsi="宋体" w:eastAsia="方正仿宋_GBK" w:cs="方正仿宋_GBK"/>
          <w:sz w:val="32"/>
          <w:szCs w:val="32"/>
        </w:rPr>
        <w:t>3.81%，主要原因是当年上级拨付自然灾害救灾资金比上年减少，所以本年支出下降。其中：基本支出836.48万元，占比39.55%；项目支出1278.48万元，占比60.45%。</w:t>
      </w:r>
    </w:p>
    <w:p w14:paraId="7FBEDB40">
      <w:pPr>
        <w:keepNext w:val="0"/>
        <w:keepLines w:val="0"/>
        <w:pageBreakBefore w:val="0"/>
        <w:kinsoku/>
        <w:wordWrap/>
        <w:overflowPunct/>
        <w:topLinePunct w:val="0"/>
        <w:autoSpaceDN/>
        <w:bidi w:val="0"/>
        <w:spacing w:line="579" w:lineRule="exact"/>
        <w:ind w:firstLine="640" w:firstLineChars="200"/>
        <w:jc w:val="both"/>
        <w:textAlignment w:val="auto"/>
        <w:rPr>
          <w:rFonts w:ascii="宋体" w:hAnsi="宋体" w:eastAsia="方正仿宋_GBK" w:cs="方正仿宋_GBK"/>
          <w:kern w:val="0"/>
          <w:sz w:val="32"/>
          <w:szCs w:val="32"/>
        </w:rPr>
      </w:pPr>
      <w:r>
        <w:rPr>
          <w:rFonts w:hint="eastAsia" w:ascii="宋体" w:hAnsi="宋体" w:eastAsia="方正仿宋_GBK" w:cs="方正仿宋_GBK"/>
          <w:kern w:val="0"/>
          <w:sz w:val="32"/>
          <w:szCs w:val="32"/>
        </w:rPr>
        <w:t>4.</w:t>
      </w:r>
      <w:r>
        <w:rPr>
          <w:rFonts w:hint="eastAsia" w:ascii="宋体" w:hAnsi="宋体" w:eastAsia="方正仿宋_GBK" w:cs="方正仿宋_GBK"/>
          <w:b/>
          <w:bCs/>
          <w:sz w:val="32"/>
          <w:szCs w:val="32"/>
        </w:rPr>
        <w:t>结转结余情况。</w:t>
      </w:r>
      <w:r>
        <w:rPr>
          <w:rFonts w:hint="eastAsia" w:ascii="宋体" w:hAnsi="宋体" w:eastAsia="方正仿宋_GBK" w:cs="方正仿宋_GBK"/>
          <w:sz w:val="32"/>
          <w:szCs w:val="32"/>
        </w:rPr>
        <w:t>2024年度年末结转和结余0万元，与2023年度持平</w:t>
      </w:r>
      <w:r>
        <w:rPr>
          <w:rFonts w:hint="eastAsia" w:ascii="宋体" w:hAnsi="宋体" w:eastAsia="方正仿宋_GBK" w:cs="方正仿宋_GBK"/>
          <w:kern w:val="0"/>
          <w:sz w:val="32"/>
          <w:szCs w:val="32"/>
        </w:rPr>
        <w:t>。</w:t>
      </w:r>
    </w:p>
    <w:p w14:paraId="09205C6D">
      <w:pPr>
        <w:keepNext w:val="0"/>
        <w:keepLines w:val="0"/>
        <w:pageBreakBefore w:val="0"/>
        <w:kinsoku/>
        <w:wordWrap/>
        <w:overflowPunct/>
        <w:topLinePunct w:val="0"/>
        <w:autoSpaceDN/>
        <w:bidi w:val="0"/>
        <w:spacing w:line="579" w:lineRule="exact"/>
        <w:ind w:firstLine="640" w:firstLineChars="200"/>
        <w:jc w:val="both"/>
        <w:textAlignment w:val="auto"/>
        <w:outlineLvl w:val="1"/>
        <w:rPr>
          <w:rFonts w:ascii="宋体" w:hAnsi="宋体" w:eastAsia="方正楷体_GBK" w:cs="方正楷体_GBK"/>
          <w:sz w:val="32"/>
          <w:szCs w:val="32"/>
        </w:rPr>
      </w:pPr>
      <w:r>
        <w:rPr>
          <w:rFonts w:hint="eastAsia" w:ascii="宋体" w:hAnsi="宋体" w:eastAsia="方正楷体_GBK" w:cs="方正楷体_GBK"/>
          <w:sz w:val="32"/>
          <w:szCs w:val="32"/>
        </w:rPr>
        <w:t>（二）财政拨款收支总体情况</w:t>
      </w:r>
    </w:p>
    <w:p w14:paraId="4E3FAEA4">
      <w:pPr>
        <w:keepNext w:val="0"/>
        <w:keepLines w:val="0"/>
        <w:pageBreakBefore w:val="0"/>
        <w:kinsoku/>
        <w:wordWrap/>
        <w:overflowPunct/>
        <w:topLinePunct w:val="0"/>
        <w:autoSpaceDN/>
        <w:bidi w:val="0"/>
        <w:spacing w:line="579" w:lineRule="exact"/>
        <w:ind w:firstLine="640" w:firstLineChars="200"/>
        <w:jc w:val="both"/>
        <w:textAlignment w:val="auto"/>
        <w:rPr>
          <w:rFonts w:ascii="宋体" w:hAnsi="宋体" w:eastAsia="方正仿宋_GBK" w:cs="方正仿宋_GBK"/>
          <w:sz w:val="32"/>
        </w:rPr>
      </w:pPr>
      <w:r>
        <w:rPr>
          <w:rFonts w:hint="eastAsia" w:ascii="宋体" w:hAnsi="宋体" w:eastAsia="方正仿宋_GBK" w:cs="方正仿宋_GBK"/>
          <w:sz w:val="32"/>
        </w:rPr>
        <w:t>2024年度财政拨款收入总计</w:t>
      </w:r>
      <w:r>
        <w:rPr>
          <w:rFonts w:hint="eastAsia" w:ascii="宋体" w:hAnsi="宋体" w:eastAsia="方正仿宋_GBK" w:cs="方正仿宋_GBK"/>
          <w:sz w:val="32"/>
          <w:szCs w:val="32"/>
        </w:rPr>
        <w:t>2114.96万元，支出总计2114.96万元。收支较上年减少83.83万元，</w:t>
      </w:r>
      <w:r>
        <w:rPr>
          <w:rFonts w:hint="eastAsia" w:ascii="宋体" w:hAnsi="宋体" w:eastAsia="方正仿宋_GBK" w:cs="方正仿宋_GBK"/>
          <w:sz w:val="32"/>
          <w:szCs w:val="32"/>
          <w:lang w:val="en-US" w:eastAsia="zh-CN"/>
        </w:rPr>
        <w:t>下降</w:t>
      </w:r>
      <w:r>
        <w:rPr>
          <w:rFonts w:hint="eastAsia" w:ascii="宋体" w:hAnsi="宋体" w:eastAsia="方正仿宋_GBK" w:cs="方正仿宋_GBK"/>
          <w:sz w:val="32"/>
          <w:szCs w:val="32"/>
        </w:rPr>
        <w:t>3.81%，主要原因是当年上级拨付自然灾害救灾资金减少，所以本年财政拨款收支总体下降。</w:t>
      </w:r>
    </w:p>
    <w:p w14:paraId="6F46B0DB">
      <w:pPr>
        <w:keepNext w:val="0"/>
        <w:keepLines w:val="0"/>
        <w:pageBreakBefore w:val="0"/>
        <w:kinsoku/>
        <w:wordWrap/>
        <w:overflowPunct/>
        <w:topLinePunct w:val="0"/>
        <w:autoSpaceDN/>
        <w:bidi w:val="0"/>
        <w:spacing w:line="579" w:lineRule="exact"/>
        <w:ind w:firstLine="640" w:firstLineChars="200"/>
        <w:jc w:val="both"/>
        <w:textAlignment w:val="auto"/>
        <w:outlineLvl w:val="1"/>
        <w:rPr>
          <w:rFonts w:ascii="宋体" w:hAnsi="宋体" w:eastAsia="方正楷体_GBK" w:cs="方正楷体_GBK"/>
          <w:sz w:val="32"/>
          <w:szCs w:val="32"/>
        </w:rPr>
      </w:pPr>
      <w:r>
        <w:rPr>
          <w:rFonts w:hint="eastAsia" w:ascii="宋体" w:hAnsi="宋体" w:eastAsia="方正楷体_GBK" w:cs="方正楷体_GBK"/>
          <w:sz w:val="32"/>
          <w:szCs w:val="32"/>
        </w:rPr>
        <w:t>（三）一般公共预算财政拨款收支总体情况</w:t>
      </w:r>
    </w:p>
    <w:p w14:paraId="5E47AD64">
      <w:pPr>
        <w:keepNext w:val="0"/>
        <w:keepLines w:val="0"/>
        <w:pageBreakBefore w:val="0"/>
        <w:kinsoku/>
        <w:wordWrap/>
        <w:overflowPunct/>
        <w:topLinePunct w:val="0"/>
        <w:autoSpaceDN/>
        <w:bidi w:val="0"/>
        <w:spacing w:line="579" w:lineRule="exact"/>
        <w:ind w:firstLine="643" w:firstLineChars="200"/>
        <w:jc w:val="both"/>
        <w:textAlignment w:val="auto"/>
        <w:rPr>
          <w:rFonts w:ascii="宋体" w:hAnsi="宋体" w:eastAsia="方正仿宋_GBK" w:cs="方正仿宋_GBK"/>
          <w:b/>
          <w:bCs/>
          <w:sz w:val="32"/>
        </w:rPr>
      </w:pPr>
      <w:r>
        <w:rPr>
          <w:rFonts w:hint="eastAsia" w:ascii="宋体" w:hAnsi="宋体" w:eastAsia="方正仿宋_GBK" w:cs="方正仿宋_GBK"/>
          <w:b/>
          <w:bCs/>
          <w:sz w:val="32"/>
        </w:rPr>
        <w:t>1.收入情况。</w:t>
      </w:r>
      <w:r>
        <w:rPr>
          <w:rFonts w:hint="eastAsia" w:ascii="宋体" w:hAnsi="宋体" w:eastAsia="方正仿宋_GBK" w:cs="方正仿宋_GBK"/>
          <w:sz w:val="32"/>
        </w:rPr>
        <w:t>2024年度一般公共预算财政拨款收入</w:t>
      </w:r>
      <w:r>
        <w:rPr>
          <w:rFonts w:hint="eastAsia" w:ascii="宋体" w:hAnsi="宋体" w:eastAsia="方正仿宋_GBK" w:cs="方正仿宋_GBK"/>
          <w:sz w:val="32"/>
          <w:szCs w:val="32"/>
        </w:rPr>
        <w:t>2114.96万元，较上年减少83.83万元，</w:t>
      </w:r>
      <w:r>
        <w:rPr>
          <w:rFonts w:hint="eastAsia" w:ascii="宋体" w:hAnsi="宋体" w:eastAsia="方正仿宋_GBK" w:cs="方正仿宋_GBK"/>
          <w:sz w:val="32"/>
          <w:szCs w:val="32"/>
          <w:lang w:val="en-US" w:eastAsia="zh-CN"/>
        </w:rPr>
        <w:t>下降</w:t>
      </w:r>
      <w:r>
        <w:rPr>
          <w:rFonts w:hint="eastAsia" w:ascii="宋体" w:hAnsi="宋体" w:eastAsia="方正仿宋_GBK" w:cs="方正仿宋_GBK"/>
          <w:sz w:val="32"/>
          <w:szCs w:val="32"/>
        </w:rPr>
        <w:t>3.81%，主要原因是上级拨付自然灾害救灾资金减少，所以本年一般公共预算财政拨款收入下降。</w:t>
      </w:r>
      <w:r>
        <w:rPr>
          <w:rFonts w:hint="eastAsia" w:ascii="宋体" w:hAnsi="宋体" w:eastAsia="方正仿宋_GBK" w:cs="方正仿宋_GBK"/>
          <w:sz w:val="32"/>
        </w:rPr>
        <w:t>较年初预算数增加565.35万元，增长36.48%，主要原因一是当年增加自然灾害救灾收入503.16万元；二是人员增加和工资调资增加基本收入62.19万元。</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795069F0">
      <w:pPr>
        <w:keepNext w:val="0"/>
        <w:keepLines w:val="0"/>
        <w:pageBreakBefore w:val="0"/>
        <w:kinsoku/>
        <w:wordWrap/>
        <w:overflowPunct/>
        <w:topLinePunct w:val="0"/>
        <w:autoSpaceDN/>
        <w:bidi w:val="0"/>
        <w:spacing w:line="579" w:lineRule="exact"/>
        <w:ind w:firstLine="643" w:firstLineChars="200"/>
        <w:jc w:val="both"/>
        <w:textAlignment w:val="auto"/>
        <w:rPr>
          <w:rFonts w:ascii="宋体" w:hAnsi="宋体" w:eastAsia="方正仿宋_GBK" w:cs="方正仿宋_GBK"/>
          <w:b/>
          <w:bCs/>
          <w:sz w:val="32"/>
        </w:rPr>
      </w:pPr>
      <w:r>
        <w:rPr>
          <w:rFonts w:hint="eastAsia" w:ascii="宋体" w:hAnsi="宋体" w:eastAsia="方正仿宋_GBK" w:cs="方正仿宋_GBK"/>
          <w:b/>
          <w:bCs/>
          <w:sz w:val="32"/>
        </w:rPr>
        <w:t>2.支出情况。</w:t>
      </w:r>
      <w:r>
        <w:rPr>
          <w:rFonts w:hint="eastAsia" w:ascii="宋体" w:hAnsi="宋体" w:eastAsia="方正仿宋_GBK" w:cs="方正仿宋_GBK"/>
          <w:sz w:val="32"/>
        </w:rPr>
        <w:t>2024年度一般公共预算财政拨款支出</w:t>
      </w:r>
      <w:r>
        <w:rPr>
          <w:rFonts w:hint="eastAsia" w:ascii="宋体" w:hAnsi="宋体" w:eastAsia="方正仿宋_GBK" w:cs="方正仿宋_GBK"/>
          <w:sz w:val="32"/>
          <w:szCs w:val="32"/>
        </w:rPr>
        <w:t>2114.96万元，较上年减少83.83万元，</w:t>
      </w:r>
      <w:r>
        <w:rPr>
          <w:rFonts w:hint="eastAsia" w:ascii="宋体" w:hAnsi="宋体" w:eastAsia="方正仿宋_GBK" w:cs="方正仿宋_GBK"/>
          <w:sz w:val="32"/>
          <w:szCs w:val="32"/>
          <w:lang w:val="en-US" w:eastAsia="zh-CN"/>
        </w:rPr>
        <w:t>下降</w:t>
      </w:r>
      <w:r>
        <w:rPr>
          <w:rFonts w:hint="eastAsia" w:ascii="宋体" w:hAnsi="宋体" w:eastAsia="方正仿宋_GBK" w:cs="方正仿宋_GBK"/>
          <w:sz w:val="32"/>
          <w:szCs w:val="32"/>
        </w:rPr>
        <w:t>3.81%，主要原因是上级拨付自然灾害救灾资金减少，所以本年一般公共预算财政拨款支出下降。</w:t>
      </w:r>
      <w:r>
        <w:rPr>
          <w:rFonts w:hint="eastAsia" w:ascii="宋体" w:hAnsi="宋体" w:eastAsia="方正仿宋_GBK" w:cs="方正仿宋_GBK"/>
          <w:sz w:val="32"/>
        </w:rPr>
        <w:t>较年初预算数增加565.35万元，增长36.48%，主要原因一是当年增加自然灾害救灾支出503.16万元；二是人员增加和调资增加基本支出62.19万元。</w:t>
      </w:r>
    </w:p>
    <w:p w14:paraId="420592D8">
      <w:pPr>
        <w:keepNext w:val="0"/>
        <w:keepLines w:val="0"/>
        <w:pageBreakBefore w:val="0"/>
        <w:kinsoku/>
        <w:wordWrap/>
        <w:overflowPunct/>
        <w:topLinePunct w:val="0"/>
        <w:autoSpaceDN/>
        <w:bidi w:val="0"/>
        <w:spacing w:line="579" w:lineRule="exact"/>
        <w:ind w:firstLine="643" w:firstLineChars="200"/>
        <w:jc w:val="both"/>
        <w:textAlignment w:val="auto"/>
        <w:rPr>
          <w:rFonts w:ascii="宋体" w:hAnsi="宋体" w:eastAsia="方正仿宋_GBK" w:cs="方正仿宋_GBK"/>
          <w:b/>
          <w:bCs/>
          <w:sz w:val="32"/>
        </w:rPr>
      </w:pPr>
      <w:r>
        <w:rPr>
          <w:rFonts w:hint="eastAsia" w:ascii="宋体" w:hAnsi="宋体" w:eastAsia="方正仿宋_GBK" w:cs="方正仿宋_GBK"/>
          <w:b/>
          <w:bCs/>
          <w:sz w:val="32"/>
        </w:rPr>
        <w:t>3.结转结余情况。</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rPr>
        <w:t>持平。</w:t>
      </w:r>
    </w:p>
    <w:p w14:paraId="235A1BB3">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rPr>
          <w:rFonts w:ascii="宋体" w:hAnsi="宋体" w:eastAsia="方正仿宋_GBK" w:cs="方正仿宋_GBK"/>
          <w:sz w:val="32"/>
        </w:rPr>
      </w:pPr>
      <w:r>
        <w:rPr>
          <w:rFonts w:hint="eastAsia" w:ascii="宋体" w:hAnsi="宋体" w:eastAsia="方正仿宋_GBK" w:cs="方正仿宋_GBK"/>
          <w:sz w:val="32"/>
        </w:rPr>
        <w:t>4.</w:t>
      </w:r>
      <w:r>
        <w:rPr>
          <w:rFonts w:hint="eastAsia" w:ascii="宋体" w:hAnsi="宋体" w:eastAsia="方正仿宋_GBK" w:cs="方正仿宋_GBK"/>
          <w:b/>
          <w:bCs/>
          <w:kern w:val="2"/>
          <w:sz w:val="32"/>
        </w:rPr>
        <w:t>比较情况。</w:t>
      </w:r>
      <w:r>
        <w:rPr>
          <w:rFonts w:hint="eastAsia" w:ascii="宋体" w:hAnsi="宋体" w:eastAsia="方正仿宋_GBK" w:cs="方正仿宋_GBK"/>
          <w:sz w:val="32"/>
        </w:rPr>
        <w:t>本单位2024年度一般公共预算财政拨款支出主要用于以下几个方面：</w:t>
      </w:r>
    </w:p>
    <w:p w14:paraId="6945B1DA">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rPr>
          <w:rFonts w:ascii="宋体" w:hAnsi="宋体" w:eastAsia="方正仿宋_GBK" w:cs="方正仿宋_GBK"/>
          <w:sz w:val="32"/>
        </w:rPr>
      </w:pPr>
      <w:r>
        <w:rPr>
          <w:rFonts w:hint="eastAsia" w:ascii="宋体" w:hAnsi="宋体" w:eastAsia="方正仿宋_GBK" w:cs="方正仿宋_GBK"/>
          <w:sz w:val="32"/>
        </w:rPr>
        <w:t>（1）教育支出0.89万元，占比0.04%。较年初预算数减少3.42万元，</w:t>
      </w:r>
      <w:r>
        <w:rPr>
          <w:rFonts w:hint="eastAsia" w:ascii="宋体" w:hAnsi="宋体" w:eastAsia="方正仿宋_GBK" w:cs="方正仿宋_GBK"/>
          <w:sz w:val="32"/>
          <w:lang w:val="en-US" w:eastAsia="zh-CN"/>
        </w:rPr>
        <w:t>下降</w:t>
      </w:r>
      <w:r>
        <w:rPr>
          <w:rFonts w:hint="eastAsia" w:ascii="宋体" w:hAnsi="宋体" w:eastAsia="方正仿宋_GBK" w:cs="方正仿宋_GBK"/>
          <w:sz w:val="32"/>
        </w:rPr>
        <w:t>79.35%，主要原因是为节省单位开支，采用网络培训教育，减少职工培训支出。</w:t>
      </w:r>
    </w:p>
    <w:p w14:paraId="285A4F8C">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rPr>
          <w:rFonts w:ascii="宋体" w:hAnsi="宋体" w:eastAsia="方正仿宋_GBK" w:cs="方正仿宋_GBK"/>
          <w:sz w:val="32"/>
        </w:rPr>
      </w:pPr>
      <w:r>
        <w:rPr>
          <w:rFonts w:hint="eastAsia" w:ascii="宋体" w:hAnsi="宋体" w:eastAsia="方正仿宋_GBK" w:cs="方正仿宋_GBK"/>
          <w:sz w:val="32"/>
        </w:rPr>
        <w:t>（2）社会保障和就业支出108.79万元，占比5.14%，较年初预算数增加36.95万元，增</w:t>
      </w:r>
      <w:r>
        <w:rPr>
          <w:rFonts w:hint="eastAsia" w:ascii="宋体" w:hAnsi="宋体" w:eastAsia="方正仿宋_GBK" w:cs="方正仿宋_GBK"/>
          <w:sz w:val="32"/>
          <w:lang w:val="en-US" w:eastAsia="zh-CN"/>
        </w:rPr>
        <w:t>长</w:t>
      </w:r>
      <w:r>
        <w:rPr>
          <w:rFonts w:hint="eastAsia" w:ascii="宋体" w:hAnsi="宋体" w:eastAsia="方正仿宋_GBK" w:cs="方正仿宋_GBK"/>
          <w:sz w:val="32"/>
        </w:rPr>
        <w:t>51.43%，主要原因一是单位人员增加2人；二是增加社会保障缴费基数，社会保障缴费支出增加。</w:t>
      </w:r>
    </w:p>
    <w:p w14:paraId="5E9E75E3">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rPr>
          <w:rFonts w:ascii="宋体" w:hAnsi="宋体" w:eastAsia="方正仿宋_GBK" w:cs="方正仿宋_GBK"/>
          <w:sz w:val="32"/>
        </w:rPr>
      </w:pPr>
      <w:r>
        <w:rPr>
          <w:rFonts w:hint="eastAsia" w:ascii="宋体" w:hAnsi="宋体" w:eastAsia="方正仿宋_GBK" w:cs="方正仿宋_GBK"/>
          <w:sz w:val="32"/>
        </w:rPr>
        <w:t>（3）卫生健康支出39.77万元，占1.88%，较年初预算数减少0.32万元，</w:t>
      </w:r>
      <w:r>
        <w:rPr>
          <w:rFonts w:hint="eastAsia" w:ascii="宋体" w:hAnsi="宋体" w:eastAsia="方正仿宋_GBK" w:cs="方正仿宋_GBK"/>
          <w:sz w:val="32"/>
          <w:lang w:val="en-US" w:eastAsia="zh-CN"/>
        </w:rPr>
        <w:t>下降</w:t>
      </w:r>
      <w:r>
        <w:rPr>
          <w:rFonts w:hint="eastAsia" w:ascii="宋体" w:hAnsi="宋体" w:eastAsia="方正仿宋_GBK" w:cs="方正仿宋_GBK"/>
          <w:sz w:val="32"/>
        </w:rPr>
        <w:t>0.80%。</w:t>
      </w:r>
    </w:p>
    <w:p w14:paraId="507E91D1">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rPr>
          <w:rFonts w:ascii="宋体" w:hAnsi="宋体" w:eastAsia="方正仿宋_GBK" w:cs="方正仿宋_GBK"/>
          <w:sz w:val="32"/>
        </w:rPr>
      </w:pPr>
      <w:r>
        <w:rPr>
          <w:rFonts w:hint="eastAsia" w:ascii="宋体" w:hAnsi="宋体" w:eastAsia="方正仿宋_GBK" w:cs="方正仿宋_GBK"/>
          <w:sz w:val="32"/>
        </w:rPr>
        <w:t>（4）住房保障支出35.80万元，占1.69%，较年初预算数增加1.38万元，增</w:t>
      </w:r>
      <w:r>
        <w:rPr>
          <w:rFonts w:hint="eastAsia" w:ascii="宋体" w:hAnsi="宋体" w:eastAsia="方正仿宋_GBK" w:cs="方正仿宋_GBK"/>
          <w:sz w:val="32"/>
          <w:lang w:val="en-US" w:eastAsia="zh-CN"/>
        </w:rPr>
        <w:t>长</w:t>
      </w:r>
      <w:r>
        <w:rPr>
          <w:rFonts w:hint="eastAsia" w:ascii="宋体" w:hAnsi="宋体" w:eastAsia="方正仿宋_GBK" w:cs="方正仿宋_GBK"/>
          <w:sz w:val="32"/>
        </w:rPr>
        <w:t>4.01%，因为人员增加2人，住房保障支出增加。</w:t>
      </w:r>
    </w:p>
    <w:p w14:paraId="210CB9E0">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rPr>
          <w:rFonts w:ascii="宋体" w:hAnsi="宋体" w:eastAsia="方正仿宋_GBK" w:cs="方正仿宋_GBK"/>
          <w:sz w:val="32"/>
        </w:rPr>
      </w:pPr>
      <w:r>
        <w:rPr>
          <w:rFonts w:hint="eastAsia" w:ascii="宋体" w:hAnsi="宋体" w:eastAsia="方正仿宋_GBK" w:cs="方正仿宋_GBK"/>
          <w:sz w:val="32"/>
        </w:rPr>
        <w:t>（5）灾害防治及应急管理支出1929.71万元，占91.25%，较年初预算数增加530.76万元，增</w:t>
      </w:r>
      <w:r>
        <w:rPr>
          <w:rFonts w:hint="eastAsia" w:ascii="宋体" w:hAnsi="宋体" w:eastAsia="方正仿宋_GBK" w:cs="方正仿宋_GBK"/>
          <w:sz w:val="32"/>
          <w:lang w:val="en-US" w:eastAsia="zh-CN"/>
        </w:rPr>
        <w:t>长</w:t>
      </w:r>
      <w:r>
        <w:rPr>
          <w:rFonts w:hint="eastAsia" w:ascii="宋体" w:hAnsi="宋体" w:eastAsia="方正仿宋_GBK" w:cs="方正仿宋_GBK"/>
          <w:sz w:val="32"/>
        </w:rPr>
        <w:t>37.94%，主要原因一是当年增加自然灾害救灾支出503.16万元；二是人员增加2人，增加事业运行经费27.6万元。</w:t>
      </w:r>
    </w:p>
    <w:p w14:paraId="036E0D64">
      <w:pPr>
        <w:keepNext w:val="0"/>
        <w:keepLines w:val="0"/>
        <w:pageBreakBefore w:val="0"/>
        <w:kinsoku/>
        <w:wordWrap/>
        <w:overflowPunct/>
        <w:topLinePunct w:val="0"/>
        <w:autoSpaceDN/>
        <w:bidi w:val="0"/>
        <w:spacing w:line="579" w:lineRule="exact"/>
        <w:ind w:firstLine="640" w:firstLineChars="200"/>
        <w:jc w:val="both"/>
        <w:textAlignment w:val="auto"/>
        <w:outlineLvl w:val="1"/>
        <w:rPr>
          <w:rFonts w:ascii="宋体" w:hAnsi="宋体" w:eastAsia="方正楷体_GBK" w:cs="方正楷体_GBK"/>
          <w:sz w:val="32"/>
          <w:szCs w:val="32"/>
        </w:rPr>
      </w:pPr>
      <w:r>
        <w:rPr>
          <w:rFonts w:hint="eastAsia" w:ascii="宋体" w:hAnsi="宋体" w:eastAsia="方正楷体_GBK" w:cs="方正楷体_GBK"/>
          <w:sz w:val="32"/>
          <w:szCs w:val="32"/>
        </w:rPr>
        <w:t>（四）</w:t>
      </w:r>
      <w:r>
        <w:rPr>
          <w:rStyle w:val="14"/>
          <w:rFonts w:hint="eastAsia" w:ascii="宋体" w:hAnsi="宋体" w:eastAsia="方正楷体_GBK" w:cs="方正楷体_GBK"/>
          <w:b w:val="0"/>
          <w:bCs/>
          <w:sz w:val="32"/>
          <w:szCs w:val="32"/>
          <w:shd w:val="clear" w:color="auto" w:fill="FFFFFF"/>
        </w:rPr>
        <w:t>一般公共预算财政拨款基本支出情况</w:t>
      </w:r>
    </w:p>
    <w:p w14:paraId="2A5FCCAE">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rPr>
          <w:rFonts w:ascii="宋体" w:hAnsi="宋体" w:eastAsia="方正仿宋_GBK" w:cs="方正仿宋_GBK"/>
          <w:sz w:val="32"/>
        </w:rPr>
      </w:pPr>
      <w:r>
        <w:rPr>
          <w:rFonts w:hint="eastAsia" w:ascii="宋体" w:hAnsi="宋体" w:eastAsia="方正仿宋_GBK" w:cs="方正仿宋_GBK"/>
          <w:sz w:val="32"/>
        </w:rPr>
        <w:t>2024年度一般公共预算财政拨款基本支出836.48万元。其中：人员经费757.55万元，人员经费用途主要包括：基本工资165.23万元、津贴补贴5.99万元、伙食补助费26.00万元、绩效工资350.50万元、基本养老保险缴费70.90万元、职业年金缴费34.99万元、基本医保缴费24.14万元、其他社会保障缴费14.40万元、住房公积金50.78万元、医疗费11.02万元、其他工资福利支出0.13万元、对个人和家庭的补助支出3.47万元。较上年决算数增加87.71万元，增长13.09%，主要原因是人员增加2人和社会保障缴费基数调增，增加了人员经费支出。公用经费78.93万元，主要用于办公费8.04万元、咨询费0.10万元、水电费4.28万元、差旅费0.26万元、维修（护）费0.32万元、会议费0.10万元、培训费0.89万元、公务接待费1.90万元、工会经费20.58万元、福利费9.04万元、公务用车运行维护费8.76万元、其他商品和服务支出22.75万元、资本性支出1.91万元。较上年决算数减少39.83万元，</w:t>
      </w:r>
      <w:r>
        <w:rPr>
          <w:rFonts w:hint="eastAsia" w:ascii="宋体" w:hAnsi="宋体" w:eastAsia="方正仿宋_GBK" w:cs="方正仿宋_GBK"/>
          <w:sz w:val="32"/>
          <w:lang w:val="en-US" w:eastAsia="zh-CN"/>
        </w:rPr>
        <w:t>下降</w:t>
      </w:r>
      <w:r>
        <w:rPr>
          <w:rFonts w:hint="eastAsia" w:ascii="宋体" w:hAnsi="宋体" w:eastAsia="方正仿宋_GBK" w:cs="方正仿宋_GBK"/>
          <w:sz w:val="32"/>
        </w:rPr>
        <w:t>33.54%，主要原因响应政府“过紧日子苦日子”号召，节省开支，减少公用经费支出。</w:t>
      </w:r>
    </w:p>
    <w:p w14:paraId="4D22704B">
      <w:pPr>
        <w:keepNext w:val="0"/>
        <w:keepLines w:val="0"/>
        <w:pageBreakBefore w:val="0"/>
        <w:widowControl/>
        <w:kinsoku/>
        <w:wordWrap/>
        <w:overflowPunct/>
        <w:topLinePunct w:val="0"/>
        <w:autoSpaceDE w:val="0"/>
        <w:autoSpaceDN/>
        <w:bidi w:val="0"/>
        <w:spacing w:line="579" w:lineRule="exact"/>
        <w:ind w:firstLine="640" w:firstLineChars="200"/>
        <w:jc w:val="both"/>
        <w:textAlignment w:val="auto"/>
        <w:outlineLvl w:val="1"/>
        <w:rPr>
          <w:rStyle w:val="14"/>
          <w:rFonts w:ascii="宋体" w:hAnsi="宋体" w:eastAsia="方正楷体_GBK" w:cs="方正楷体_GBK"/>
          <w:b w:val="0"/>
          <w:bCs/>
          <w:sz w:val="32"/>
          <w:szCs w:val="32"/>
          <w:shd w:val="clear" w:color="auto" w:fill="FFFFFF"/>
        </w:rPr>
      </w:pPr>
      <w:r>
        <w:rPr>
          <w:rStyle w:val="14"/>
          <w:rFonts w:hint="eastAsia" w:ascii="宋体" w:hAnsi="宋体" w:eastAsia="方正楷体_GBK" w:cs="方正楷体_GBK"/>
          <w:b w:val="0"/>
          <w:bCs/>
          <w:sz w:val="32"/>
          <w:szCs w:val="32"/>
          <w:shd w:val="clear" w:color="auto" w:fill="FFFFFF"/>
        </w:rPr>
        <w:t>（五）政府性基金预算收支决算情况</w:t>
      </w:r>
    </w:p>
    <w:p w14:paraId="41F1C70D">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度无政府性基金预算财政拨款收支</w:t>
      </w:r>
      <w:r>
        <w:rPr>
          <w:rFonts w:hint="eastAsia" w:ascii="方正仿宋_GBK" w:hAnsi="方正仿宋_GBK" w:eastAsia="方正仿宋_GBK" w:cs="方正仿宋_GBK"/>
          <w:sz w:val="32"/>
          <w:szCs w:val="32"/>
          <w:shd w:val="clear" w:color="auto" w:fill="FFFFFF"/>
        </w:rPr>
        <w:t>。</w:t>
      </w:r>
    </w:p>
    <w:p w14:paraId="12BB91CC">
      <w:pPr>
        <w:keepNext w:val="0"/>
        <w:keepLines w:val="0"/>
        <w:pageBreakBefore w:val="0"/>
        <w:widowControl/>
        <w:kinsoku/>
        <w:wordWrap/>
        <w:overflowPunct/>
        <w:topLinePunct w:val="0"/>
        <w:autoSpaceDE w:val="0"/>
        <w:autoSpaceDN/>
        <w:bidi w:val="0"/>
        <w:spacing w:line="579" w:lineRule="exact"/>
        <w:ind w:firstLine="640" w:firstLineChars="200"/>
        <w:jc w:val="both"/>
        <w:textAlignment w:val="auto"/>
        <w:outlineLvl w:val="1"/>
        <w:rPr>
          <w:rStyle w:val="14"/>
          <w:rFonts w:ascii="宋体" w:hAnsi="宋体" w:eastAsia="方正楷体_GBK" w:cs="方正楷体_GBK"/>
          <w:b w:val="0"/>
          <w:bCs/>
          <w:sz w:val="32"/>
          <w:szCs w:val="32"/>
          <w:shd w:val="clear" w:color="auto" w:fill="FFFFFF"/>
        </w:rPr>
      </w:pPr>
      <w:r>
        <w:rPr>
          <w:rStyle w:val="14"/>
          <w:rFonts w:hint="eastAsia" w:ascii="宋体" w:hAnsi="宋体" w:eastAsia="方正楷体_GBK" w:cs="方正楷体_GBK"/>
          <w:b w:val="0"/>
          <w:bCs/>
          <w:sz w:val="32"/>
          <w:szCs w:val="32"/>
          <w:shd w:val="clear" w:color="auto" w:fill="FFFFFF"/>
        </w:rPr>
        <w:t>（六）国有资本经营预算财政拨款支出决算情况</w:t>
      </w:r>
    </w:p>
    <w:p w14:paraId="1C35B74C">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rPr>
          <w:rFonts w:ascii="宋体" w:hAnsi="宋体" w:eastAsia="方正仿宋_GBK" w:cs="方正仿宋_GBK"/>
          <w:sz w:val="32"/>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度无国有资本经营预算财政拨款支出。</w:t>
      </w:r>
    </w:p>
    <w:p w14:paraId="2E6D7BA7">
      <w:pPr>
        <w:pStyle w:val="10"/>
        <w:keepNext w:val="0"/>
        <w:keepLines w:val="0"/>
        <w:pageBreakBefore w:val="0"/>
        <w:widowControl/>
        <w:kinsoku/>
        <w:wordWrap/>
        <w:overflowPunct/>
        <w:topLinePunct w:val="0"/>
        <w:autoSpaceDE w:val="0"/>
        <w:autoSpaceDN/>
        <w:bidi w:val="0"/>
        <w:spacing w:before="0" w:beforeAutospacing="0" w:after="0" w:afterAutospacing="0" w:line="579" w:lineRule="exact"/>
        <w:ind w:firstLine="640" w:firstLineChars="200"/>
        <w:jc w:val="both"/>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rPr>
        <w:t>三、“三公”经费情况</w:t>
      </w:r>
    </w:p>
    <w:p w14:paraId="354C63BD">
      <w:pPr>
        <w:keepNext w:val="0"/>
        <w:keepLines w:val="0"/>
        <w:pageBreakBefore w:val="0"/>
        <w:widowControl/>
        <w:kinsoku/>
        <w:wordWrap/>
        <w:overflowPunct/>
        <w:topLinePunct w:val="0"/>
        <w:autoSpaceDE w:val="0"/>
        <w:autoSpaceDN/>
        <w:bidi w:val="0"/>
        <w:spacing w:line="579" w:lineRule="exact"/>
        <w:ind w:firstLine="640" w:firstLineChars="200"/>
        <w:jc w:val="both"/>
        <w:textAlignment w:val="auto"/>
        <w:outlineLvl w:val="1"/>
        <w:rPr>
          <w:rStyle w:val="14"/>
          <w:rFonts w:ascii="宋体" w:hAnsi="宋体" w:eastAsia="方正楷体_GBK" w:cs="方正楷体_GBK"/>
          <w:b w:val="0"/>
          <w:bCs/>
          <w:sz w:val="32"/>
          <w:szCs w:val="32"/>
          <w:shd w:val="clear" w:color="auto" w:fill="FFFFFF"/>
        </w:rPr>
      </w:pPr>
      <w:r>
        <w:rPr>
          <w:rStyle w:val="14"/>
          <w:rFonts w:hint="eastAsia" w:ascii="宋体" w:hAnsi="宋体" w:eastAsia="方正楷体_GBK" w:cs="方正楷体_GBK"/>
          <w:b w:val="0"/>
          <w:bCs/>
          <w:sz w:val="32"/>
          <w:szCs w:val="32"/>
          <w:shd w:val="clear" w:color="auto" w:fill="FFFFFF"/>
        </w:rPr>
        <w:t>（一）“三公”经费支出总体情况</w:t>
      </w:r>
    </w:p>
    <w:p w14:paraId="2DE74037">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rPr>
          <w:rFonts w:ascii="宋体" w:hAnsi="宋体" w:eastAsia="方正仿宋_GBK" w:cs="方正仿宋_GBK"/>
          <w:sz w:val="32"/>
        </w:rPr>
      </w:pPr>
      <w:r>
        <w:rPr>
          <w:rFonts w:hint="eastAsia" w:ascii="宋体" w:hAnsi="宋体" w:eastAsia="方正仿宋_GBK" w:cs="方正仿宋_GBK"/>
          <w:sz w:val="32"/>
        </w:rPr>
        <w:t>2024年度“三公”经费支出共计10.66万元，较年初预算数减少1.34万元，下降11.17%，主要原因是响应政府号召，节约“三公”经费支出。较上年支出数减少0.67万元，</w:t>
      </w:r>
      <w:r>
        <w:rPr>
          <w:rFonts w:hint="eastAsia" w:ascii="宋体" w:hAnsi="宋体" w:eastAsia="方正仿宋_GBK" w:cs="方正仿宋_GBK"/>
          <w:sz w:val="32"/>
          <w:lang w:val="en-US" w:eastAsia="zh-CN"/>
        </w:rPr>
        <w:t>下降</w:t>
      </w:r>
      <w:r>
        <w:rPr>
          <w:rFonts w:hint="eastAsia" w:ascii="宋体" w:hAnsi="宋体" w:eastAsia="方正仿宋_GBK" w:cs="方正仿宋_GBK"/>
          <w:sz w:val="32"/>
        </w:rPr>
        <w:t>5.89%，主要原因是响应政府过“紧日子苦日子”号召，厉行节约，减少“三公”经费支出。</w:t>
      </w:r>
    </w:p>
    <w:p w14:paraId="6E6C5311">
      <w:pPr>
        <w:keepNext w:val="0"/>
        <w:keepLines w:val="0"/>
        <w:pageBreakBefore w:val="0"/>
        <w:widowControl/>
        <w:kinsoku/>
        <w:wordWrap/>
        <w:overflowPunct/>
        <w:topLinePunct w:val="0"/>
        <w:autoSpaceDE w:val="0"/>
        <w:autoSpaceDN/>
        <w:bidi w:val="0"/>
        <w:spacing w:line="579" w:lineRule="exact"/>
        <w:ind w:firstLine="640" w:firstLineChars="200"/>
        <w:jc w:val="both"/>
        <w:textAlignment w:val="auto"/>
        <w:outlineLvl w:val="1"/>
        <w:rPr>
          <w:rStyle w:val="14"/>
          <w:rFonts w:ascii="宋体" w:hAnsi="宋体" w:eastAsia="方正楷体_GBK" w:cs="方正楷体_GBK"/>
          <w:b w:val="0"/>
          <w:bCs/>
          <w:sz w:val="32"/>
          <w:szCs w:val="32"/>
          <w:shd w:val="clear" w:color="auto" w:fill="FFFFFF"/>
        </w:rPr>
      </w:pPr>
      <w:r>
        <w:rPr>
          <w:rStyle w:val="14"/>
          <w:rFonts w:hint="eastAsia" w:ascii="宋体" w:hAnsi="宋体" w:eastAsia="方正楷体_GBK" w:cs="方正楷体_GBK"/>
          <w:b w:val="0"/>
          <w:bCs/>
          <w:sz w:val="32"/>
          <w:szCs w:val="32"/>
          <w:shd w:val="clear" w:color="auto" w:fill="FFFFFF"/>
        </w:rPr>
        <w:t>（二）“三公”经费分项支出情况</w:t>
      </w:r>
    </w:p>
    <w:p w14:paraId="405E3B81">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rPr>
          <w:rFonts w:ascii="宋体" w:hAnsi="宋体" w:eastAsia="方正仿宋_GBK" w:cs="方正仿宋_GBK"/>
          <w:sz w:val="32"/>
          <w:szCs w:val="32"/>
          <w:shd w:val="clear" w:color="auto" w:fill="FFFFFF"/>
        </w:rPr>
      </w:pPr>
      <w:r>
        <w:rPr>
          <w:rFonts w:eastAsia="方正仿宋_GBK" w:cs="方正仿宋_GBK"/>
          <w:sz w:val="32"/>
          <w:szCs w:val="32"/>
          <w:shd w:val="clear" w:color="auto" w:fill="FFFFFF"/>
        </w:rPr>
        <w:t>2023</w:t>
      </w:r>
      <w:r>
        <w:rPr>
          <w:rFonts w:hint="eastAsia" w:ascii="宋体" w:hAnsi="宋体" w:eastAsia="方正仿宋_GBK" w:cs="方正仿宋_GBK"/>
          <w:sz w:val="32"/>
          <w:szCs w:val="32"/>
          <w:shd w:val="clear" w:color="auto" w:fill="FFFFFF"/>
        </w:rPr>
        <w:t>年度本单位因公出国（境）费用</w:t>
      </w:r>
      <w:r>
        <w:rPr>
          <w:rFonts w:eastAsia="方正仿宋_GBK" w:cs="方正仿宋_GBK"/>
          <w:sz w:val="32"/>
          <w:szCs w:val="32"/>
        </w:rPr>
        <w:t>0.00</w:t>
      </w:r>
      <w:r>
        <w:rPr>
          <w:rFonts w:hint="eastAsia" w:ascii="宋体" w:hAnsi="宋体" w:eastAsia="方正仿宋_GBK" w:cs="方正仿宋_GBK"/>
          <w:sz w:val="32"/>
          <w:szCs w:val="32"/>
          <w:shd w:val="clear" w:color="auto" w:fill="FFFFFF"/>
        </w:rPr>
        <w:t>万元，较年初预算数无增减，与去年持平。</w:t>
      </w:r>
    </w:p>
    <w:p w14:paraId="6F222134">
      <w:pPr>
        <w:pStyle w:val="5"/>
        <w:keepNext w:val="0"/>
        <w:keepLines w:val="0"/>
        <w:pageBreakBefore w:val="0"/>
        <w:widowControl/>
        <w:kinsoku/>
        <w:wordWrap/>
        <w:overflowPunct/>
        <w:topLinePunct w:val="0"/>
        <w:autoSpaceDN/>
        <w:bidi w:val="0"/>
        <w:spacing w:before="0" w:beforeAutospacing="0" w:after="0" w:afterAutospacing="0" w:line="579" w:lineRule="exact"/>
        <w:ind w:firstLine="616" w:firstLineChars="200"/>
        <w:jc w:val="both"/>
        <w:textAlignment w:val="auto"/>
        <w:rPr>
          <w:rFonts w:ascii="宋体" w:hAnsi="宋体" w:eastAsia="方正仿宋_GBK" w:cs="方正仿宋_GBK"/>
          <w:sz w:val="32"/>
          <w:szCs w:val="32"/>
          <w:shd w:val="clear" w:color="auto" w:fill="FFFFFF"/>
        </w:rPr>
      </w:pPr>
      <w:r>
        <w:rPr>
          <w:rFonts w:hint="eastAsia" w:ascii="宋体" w:hAnsi="宋体" w:eastAsia="方正仿宋_GBK" w:cs="方正仿宋_GBK"/>
          <w:spacing w:val="-6"/>
          <w:sz w:val="32"/>
          <w:szCs w:val="32"/>
          <w:shd w:val="clear" w:color="auto" w:fill="FFFFFF"/>
        </w:rPr>
        <w:t>公务车购置费</w:t>
      </w:r>
      <w:r>
        <w:rPr>
          <w:rFonts w:hint="eastAsia" w:ascii="宋体" w:hAnsi="宋体" w:eastAsia="方正仿宋_GBK" w:cs="方正仿宋_GBK"/>
          <w:spacing w:val="-6"/>
          <w:sz w:val="32"/>
          <w:szCs w:val="32"/>
        </w:rPr>
        <w:t>0.00</w:t>
      </w:r>
      <w:r>
        <w:rPr>
          <w:rFonts w:hint="eastAsia" w:ascii="宋体" w:hAnsi="宋体" w:eastAsia="方正仿宋_GBK" w:cs="方正仿宋_GBK"/>
          <w:spacing w:val="-6"/>
          <w:sz w:val="32"/>
          <w:szCs w:val="32"/>
          <w:shd w:val="clear" w:color="auto" w:fill="FFFFFF"/>
        </w:rPr>
        <w:t>万元，较年初预算数无增减，与去年持平。</w:t>
      </w:r>
    </w:p>
    <w:p w14:paraId="110F700B">
      <w:pPr>
        <w:pStyle w:val="5"/>
        <w:keepNext w:val="0"/>
        <w:keepLines w:val="0"/>
        <w:pageBreakBefore w:val="0"/>
        <w:widowControl/>
        <w:kinsoku/>
        <w:wordWrap/>
        <w:overflowPunct/>
        <w:topLinePunct w:val="0"/>
        <w:autoSpaceDN/>
        <w:bidi w:val="0"/>
        <w:spacing w:before="0" w:beforeAutospacing="0" w:afterAutospacing="0" w:line="579" w:lineRule="exact"/>
        <w:ind w:firstLine="640" w:firstLineChars="200"/>
        <w:jc w:val="both"/>
        <w:textAlignment w:val="auto"/>
        <w:rPr>
          <w:rFonts w:ascii="宋体" w:hAnsi="宋体" w:eastAsia="方正仿宋_GBK" w:cs="方正仿宋_GBK"/>
          <w:sz w:val="32"/>
        </w:rPr>
      </w:pPr>
      <w:r>
        <w:rPr>
          <w:rFonts w:hint="eastAsia" w:ascii="宋体" w:hAnsi="宋体" w:eastAsia="方正仿宋_GBK" w:cs="方正仿宋_GBK"/>
          <w:sz w:val="32"/>
        </w:rPr>
        <w:t>公务车运行维护费</w:t>
      </w:r>
      <w:r>
        <w:rPr>
          <w:rFonts w:hint="eastAsia" w:ascii="宋体" w:hAnsi="宋体" w:eastAsia="方正仿宋_GBK" w:cs="方正仿宋_GBK"/>
          <w:sz w:val="32"/>
          <w:szCs w:val="32"/>
          <w:shd w:val="clear" w:color="auto" w:fill="FFFFFF"/>
        </w:rPr>
        <w:t>8.76万元，主要用于单位公务车维修维护费、停车费、高速路过路费、洗车费和油费。费用支出较年初预算</w:t>
      </w:r>
      <w:r>
        <w:rPr>
          <w:rFonts w:hint="eastAsia" w:ascii="宋体" w:hAnsi="宋体" w:eastAsia="方正仿宋_GBK" w:cs="方正仿宋_GBK"/>
          <w:sz w:val="32"/>
        </w:rPr>
        <w:t>数减少0.74万元，</w:t>
      </w:r>
      <w:r>
        <w:rPr>
          <w:rFonts w:hint="eastAsia" w:ascii="宋体" w:hAnsi="宋体" w:eastAsia="方正仿宋_GBK" w:cs="方正仿宋_GBK"/>
          <w:sz w:val="32"/>
          <w:lang w:val="en-US" w:eastAsia="zh-CN"/>
        </w:rPr>
        <w:t>下降</w:t>
      </w:r>
      <w:r>
        <w:rPr>
          <w:rFonts w:hint="eastAsia" w:ascii="宋体" w:hAnsi="宋体" w:eastAsia="方正仿宋_GBK" w:cs="方正仿宋_GBK"/>
          <w:sz w:val="32"/>
        </w:rPr>
        <w:t>7.79%；较上年支出数减少1.24万元，</w:t>
      </w:r>
      <w:r>
        <w:rPr>
          <w:rFonts w:hint="eastAsia" w:ascii="宋体" w:hAnsi="宋体" w:eastAsia="方正仿宋_GBK" w:cs="方正仿宋_GBK"/>
          <w:sz w:val="32"/>
          <w:lang w:val="en-US" w:eastAsia="zh-CN"/>
        </w:rPr>
        <w:t>下降</w:t>
      </w:r>
      <w:r>
        <w:rPr>
          <w:rFonts w:hint="eastAsia" w:ascii="宋体" w:hAnsi="宋体" w:eastAsia="方正仿宋_GBK" w:cs="方正仿宋_GBK"/>
          <w:sz w:val="32"/>
        </w:rPr>
        <w:t>12.36%，主要原因是当年</w:t>
      </w:r>
      <w:r>
        <w:rPr>
          <w:rFonts w:hint="eastAsia" w:ascii="宋体" w:hAnsi="宋体" w:eastAsia="方正仿宋_GBK" w:cs="方正仿宋_GBK"/>
          <w:sz w:val="32"/>
          <w:lang w:val="en-US" w:eastAsia="zh-CN"/>
        </w:rPr>
        <w:t>公务车</w:t>
      </w:r>
      <w:r>
        <w:rPr>
          <w:rFonts w:hint="eastAsia" w:ascii="宋体" w:hAnsi="宋体" w:eastAsia="方正仿宋_GBK" w:cs="方正仿宋_GBK"/>
          <w:sz w:val="32"/>
        </w:rPr>
        <w:t>未做大修，维修费用减少，公务车运行费用减少。</w:t>
      </w:r>
    </w:p>
    <w:p w14:paraId="1B87A5E1">
      <w:pPr>
        <w:pStyle w:val="5"/>
        <w:keepNext w:val="0"/>
        <w:keepLines w:val="0"/>
        <w:pageBreakBefore w:val="0"/>
        <w:widowControl/>
        <w:kinsoku/>
        <w:wordWrap/>
        <w:overflowPunct/>
        <w:topLinePunct w:val="0"/>
        <w:autoSpaceDN/>
        <w:bidi w:val="0"/>
        <w:spacing w:before="0" w:beforeAutospacing="0" w:afterAutospacing="0" w:line="579" w:lineRule="exact"/>
        <w:ind w:firstLine="640" w:firstLineChars="200"/>
        <w:jc w:val="both"/>
        <w:textAlignment w:val="auto"/>
        <w:rPr>
          <w:rFonts w:ascii="宋体" w:hAnsi="宋体" w:eastAsia="方正仿宋_GBK" w:cs="方正仿宋_GBK"/>
          <w:sz w:val="32"/>
        </w:rPr>
      </w:pPr>
      <w:r>
        <w:rPr>
          <w:rFonts w:hint="eastAsia" w:ascii="宋体" w:hAnsi="宋体" w:eastAsia="方正仿宋_GBK" w:cs="方正仿宋_GBK"/>
          <w:sz w:val="32"/>
        </w:rPr>
        <w:t>公务接待费1.90万元，</w:t>
      </w:r>
      <w:r>
        <w:rPr>
          <w:rFonts w:hint="eastAsia" w:ascii="宋体" w:hAnsi="宋体" w:eastAsia="方正仿宋_GBK" w:cs="方正仿宋_GBK"/>
          <w:sz w:val="32"/>
          <w:szCs w:val="32"/>
          <w:shd w:val="clear" w:color="auto" w:fill="FFFFFF"/>
        </w:rPr>
        <w:t>主要用于上级部门调研、友邻区县交叉检查等接待支出。</w:t>
      </w:r>
      <w:r>
        <w:rPr>
          <w:rFonts w:hint="eastAsia" w:ascii="宋体" w:hAnsi="宋体" w:eastAsia="方正仿宋_GBK" w:cs="方正仿宋_GBK"/>
          <w:sz w:val="32"/>
        </w:rPr>
        <w:t>费用支出较年初预算数减少0.60万元，</w:t>
      </w:r>
      <w:r>
        <w:rPr>
          <w:rFonts w:hint="eastAsia" w:ascii="宋体" w:hAnsi="宋体" w:eastAsia="方正仿宋_GBK" w:cs="方正仿宋_GBK"/>
          <w:sz w:val="32"/>
          <w:lang w:val="en-US" w:eastAsia="zh-CN"/>
        </w:rPr>
        <w:t>下降</w:t>
      </w:r>
      <w:r>
        <w:rPr>
          <w:rFonts w:hint="eastAsia" w:ascii="宋体" w:hAnsi="宋体" w:eastAsia="方正仿宋_GBK" w:cs="方正仿宋_GBK"/>
          <w:sz w:val="32"/>
        </w:rPr>
        <w:t>24.00%；主要原因为厉行节约，减少公务接待支出。较上年支出数增加0.57万元，增</w:t>
      </w:r>
      <w:r>
        <w:rPr>
          <w:rFonts w:hint="eastAsia" w:ascii="宋体" w:hAnsi="宋体" w:eastAsia="方正仿宋_GBK" w:cs="方正仿宋_GBK"/>
          <w:sz w:val="32"/>
          <w:lang w:val="en-US" w:eastAsia="zh-CN"/>
        </w:rPr>
        <w:t>长</w:t>
      </w:r>
      <w:r>
        <w:rPr>
          <w:rFonts w:hint="eastAsia" w:ascii="宋体" w:hAnsi="宋体" w:eastAsia="方正仿宋_GBK" w:cs="方正仿宋_GBK"/>
          <w:sz w:val="32"/>
        </w:rPr>
        <w:t>42.97%，主要原因是上级专项调研活动增加，接待次数增加、接待费用增加。</w:t>
      </w:r>
    </w:p>
    <w:p w14:paraId="28272786">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outlineLvl w:val="1"/>
        <w:rPr>
          <w:rFonts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rPr>
        <w:t>（三）“三公”经费实物量情况</w:t>
      </w:r>
    </w:p>
    <w:p w14:paraId="2059A72E">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rPr>
          <w:rFonts w:ascii="宋体" w:hAnsi="宋体" w:eastAsia="方正仿宋_GBK" w:cs="方正仿宋_GBK"/>
          <w:sz w:val="32"/>
        </w:rPr>
      </w:pPr>
      <w:r>
        <w:rPr>
          <w:rFonts w:hint="eastAsia" w:ascii="宋体" w:hAnsi="宋体" w:eastAsia="方正仿宋_GBK" w:cs="方正仿宋_GBK"/>
          <w:sz w:val="32"/>
        </w:rPr>
        <w:t>2024年度本单位因公出国（境）共计0个团组，0人；公务用车购置0辆，公务车保有量为3辆；国内公务接待26批次192人，其中：国内外事接待0批次，0人；国（境）外公务接待0批次，0人。人均接待费98.96元，车均购置费0万元，车均维护费2.92万元。</w:t>
      </w:r>
    </w:p>
    <w:p w14:paraId="5EE8BA0A">
      <w:pPr>
        <w:pStyle w:val="10"/>
        <w:keepNext w:val="0"/>
        <w:keepLines w:val="0"/>
        <w:pageBreakBefore w:val="0"/>
        <w:widowControl/>
        <w:kinsoku/>
        <w:wordWrap/>
        <w:overflowPunct/>
        <w:topLinePunct w:val="0"/>
        <w:autoSpaceDE w:val="0"/>
        <w:autoSpaceDN/>
        <w:bidi w:val="0"/>
        <w:spacing w:before="0" w:beforeAutospacing="0" w:after="0" w:afterAutospacing="0" w:line="579" w:lineRule="exact"/>
        <w:ind w:firstLine="640" w:firstLineChars="200"/>
        <w:jc w:val="both"/>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rPr>
        <w:t>四、其他需要说明的事项</w:t>
      </w:r>
    </w:p>
    <w:p w14:paraId="0B4F146F">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outlineLvl w:val="1"/>
        <w:rPr>
          <w:rStyle w:val="14"/>
          <w:rFonts w:ascii="宋体" w:hAnsi="宋体" w:eastAsia="方正楷体_GBK" w:cs="方正楷体_GBK"/>
          <w:b w:val="0"/>
          <w:bCs/>
          <w:kern w:val="2"/>
          <w:sz w:val="32"/>
          <w:szCs w:val="32"/>
          <w:shd w:val="clear" w:color="auto" w:fill="FFFFFF"/>
        </w:rPr>
      </w:pPr>
      <w:r>
        <w:rPr>
          <w:rStyle w:val="14"/>
          <w:rFonts w:hint="eastAsia" w:ascii="宋体" w:hAnsi="宋体" w:eastAsia="方正楷体_GBK" w:cs="方正楷体_GBK"/>
          <w:b w:val="0"/>
          <w:bCs/>
          <w:kern w:val="2"/>
          <w:sz w:val="32"/>
          <w:szCs w:val="32"/>
          <w:shd w:val="clear" w:color="auto" w:fill="FFFFFF"/>
        </w:rPr>
        <w:t>（一）财政拨款会议费和培训费情况</w:t>
      </w:r>
    </w:p>
    <w:p w14:paraId="7F25A4EF">
      <w:pPr>
        <w:pStyle w:val="5"/>
        <w:keepNext w:val="0"/>
        <w:keepLines w:val="0"/>
        <w:pageBreakBefore w:val="0"/>
        <w:kinsoku/>
        <w:wordWrap/>
        <w:overflowPunct/>
        <w:topLinePunct w:val="0"/>
        <w:autoSpaceDN/>
        <w:bidi w:val="0"/>
        <w:snapToGrid w:val="0"/>
        <w:spacing w:before="0" w:beforeAutospacing="0" w:after="0" w:afterAutospacing="0" w:line="579"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年度会议费支出</w:t>
      </w:r>
      <w:r>
        <w:rPr>
          <w:rFonts w:hint="eastAsia"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rPr>
        <w:t>减少1.65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下降</w:t>
      </w:r>
      <w:r>
        <w:rPr>
          <w:rFonts w:hint="eastAsia" w:ascii="方正仿宋_GBK" w:hAnsi="方正仿宋_GBK" w:eastAsia="方正仿宋_GBK" w:cs="方正仿宋_GBK"/>
          <w:sz w:val="32"/>
          <w:szCs w:val="32"/>
          <w:shd w:val="clear" w:color="auto" w:fill="FFFFFF"/>
        </w:rPr>
        <w:t>76.93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当年单位全区工作性会议减少，会议费减少</w:t>
      </w:r>
      <w:r>
        <w:rPr>
          <w:rFonts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rPr>
        <w:t>4.39</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rPr>
        <w:t>增加3.46万元，增</w:t>
      </w:r>
      <w:r>
        <w:rPr>
          <w:rFonts w:hint="eastAsia" w:ascii="方正仿宋_GBK" w:hAnsi="方正仿宋_GBK" w:eastAsia="方正仿宋_GBK" w:cs="方正仿宋_GBK"/>
          <w:sz w:val="32"/>
          <w:szCs w:val="32"/>
          <w:shd w:val="clear" w:color="auto" w:fill="FFFFFF"/>
          <w:lang w:val="en-US" w:eastAsia="zh-CN"/>
        </w:rPr>
        <w:t>长</w:t>
      </w:r>
      <w:r>
        <w:rPr>
          <w:rFonts w:hint="eastAsia" w:ascii="方正仿宋_GBK" w:hAnsi="方正仿宋_GBK" w:eastAsia="方正仿宋_GBK" w:cs="方正仿宋_GBK"/>
          <w:sz w:val="32"/>
          <w:szCs w:val="32"/>
          <w:shd w:val="clear" w:color="auto" w:fill="FFFFFF"/>
        </w:rPr>
        <w:t>370.83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当年开展全区应急干部培训班次</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rPr>
        <w:t>，培训费用增加。</w:t>
      </w:r>
    </w:p>
    <w:p w14:paraId="75C130C3">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outlineLvl w:val="1"/>
        <w:rPr>
          <w:rStyle w:val="14"/>
          <w:rFonts w:ascii="宋体" w:hAnsi="宋体" w:eastAsia="方正楷体_GBK" w:cs="方正楷体_GBK"/>
          <w:b w:val="0"/>
          <w:bCs/>
          <w:kern w:val="2"/>
          <w:sz w:val="32"/>
          <w:szCs w:val="32"/>
          <w:shd w:val="clear" w:color="auto" w:fill="FFFFFF"/>
        </w:rPr>
      </w:pPr>
      <w:r>
        <w:rPr>
          <w:rStyle w:val="14"/>
          <w:rFonts w:hint="eastAsia" w:ascii="宋体" w:hAnsi="宋体" w:eastAsia="方正楷体_GBK" w:cs="方正楷体_GBK"/>
          <w:b w:val="0"/>
          <w:bCs/>
          <w:kern w:val="2"/>
          <w:sz w:val="32"/>
          <w:szCs w:val="32"/>
          <w:shd w:val="clear" w:color="auto" w:fill="FFFFFF"/>
        </w:rPr>
        <w:t>（二）机关运行经费情况</w:t>
      </w:r>
    </w:p>
    <w:p w14:paraId="03CB3EBB">
      <w:pPr>
        <w:keepNext w:val="0"/>
        <w:keepLines w:val="0"/>
        <w:pageBreakBefore w:val="0"/>
        <w:kinsoku/>
        <w:wordWrap/>
        <w:overflowPunct/>
        <w:topLinePunct w:val="0"/>
        <w:autoSpaceDN/>
        <w:bidi w:val="0"/>
        <w:spacing w:line="579" w:lineRule="exact"/>
        <w:ind w:firstLine="640" w:firstLineChars="200"/>
        <w:jc w:val="both"/>
        <w:textAlignment w:val="auto"/>
        <w:rPr>
          <w:rFonts w:ascii="宋体" w:hAnsi="宋体" w:eastAsia="方正仿宋_GBK" w:cs="方正仿宋_GBK"/>
          <w:kern w:val="0"/>
          <w:sz w:val="32"/>
          <w:szCs w:val="32"/>
        </w:rPr>
      </w:pPr>
      <w:r>
        <w:rPr>
          <w:rFonts w:hint="eastAsia" w:ascii="宋体" w:hAnsi="宋体" w:eastAsia="方正仿宋_GBK" w:cs="方正仿宋_GBK"/>
          <w:kern w:val="0"/>
          <w:sz w:val="32"/>
          <w:szCs w:val="32"/>
        </w:rPr>
        <w:t>按照部门决算列报口径，我单位不在机关运行经费统计范围之内。</w:t>
      </w:r>
    </w:p>
    <w:p w14:paraId="7C44B055">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outlineLvl w:val="1"/>
        <w:rPr>
          <w:rStyle w:val="14"/>
          <w:rFonts w:ascii="宋体" w:hAnsi="宋体" w:eastAsia="方正楷体_GBK" w:cs="方正楷体_GBK"/>
          <w:b w:val="0"/>
          <w:bCs/>
          <w:kern w:val="2"/>
          <w:sz w:val="32"/>
          <w:szCs w:val="32"/>
          <w:shd w:val="clear" w:color="auto" w:fill="FFFFFF"/>
        </w:rPr>
      </w:pPr>
      <w:r>
        <w:rPr>
          <w:rStyle w:val="14"/>
          <w:rFonts w:hint="eastAsia" w:ascii="宋体" w:hAnsi="宋体" w:eastAsia="方正楷体_GBK" w:cs="方正楷体_GBK"/>
          <w:b w:val="0"/>
          <w:bCs/>
          <w:kern w:val="2"/>
          <w:sz w:val="32"/>
          <w:szCs w:val="32"/>
          <w:shd w:val="clear" w:color="auto" w:fill="FFFFFF"/>
        </w:rPr>
        <w:t>（三）国有资产占用情况说明</w:t>
      </w:r>
    </w:p>
    <w:p w14:paraId="14DBA191">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rPr>
          <w:rFonts w:ascii="宋体" w:hAnsi="宋体" w:eastAsia="方正仿宋_GBK" w:cs="方正仿宋_GBK"/>
          <w:sz w:val="32"/>
          <w:szCs w:val="32"/>
        </w:rPr>
      </w:pPr>
      <w:r>
        <w:rPr>
          <w:rFonts w:hint="eastAsia" w:ascii="宋体" w:hAnsi="宋体" w:eastAsia="方正仿宋_GBK" w:cs="方正仿宋_GBK"/>
          <w:sz w:val="32"/>
          <w:szCs w:val="32"/>
        </w:rPr>
        <w:t>截至2024年12月31日，本单位共有车辆3辆。其中：应急保障用车2辆，特种专业技术用车1辆。单价100万元（含）以上设备（不含车辆）0台（套）。</w:t>
      </w:r>
    </w:p>
    <w:p w14:paraId="772940CC">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outlineLvl w:val="1"/>
        <w:rPr>
          <w:rStyle w:val="14"/>
          <w:rFonts w:ascii="宋体" w:hAnsi="宋体" w:eastAsia="方正楷体_GBK" w:cs="方正楷体_GBK"/>
          <w:b w:val="0"/>
          <w:bCs/>
          <w:kern w:val="2"/>
          <w:sz w:val="32"/>
          <w:szCs w:val="32"/>
          <w:shd w:val="clear" w:color="auto" w:fill="FFFFFF"/>
        </w:rPr>
      </w:pPr>
      <w:r>
        <w:rPr>
          <w:rStyle w:val="14"/>
          <w:rFonts w:hint="eastAsia" w:ascii="宋体" w:hAnsi="宋体" w:eastAsia="方正楷体_GBK" w:cs="方正楷体_GBK"/>
          <w:b w:val="0"/>
          <w:bCs/>
          <w:kern w:val="2"/>
          <w:sz w:val="32"/>
          <w:szCs w:val="32"/>
          <w:shd w:val="clear" w:color="auto" w:fill="FFFFFF"/>
        </w:rPr>
        <w:t>（四）政府采购支出说明</w:t>
      </w:r>
    </w:p>
    <w:p w14:paraId="5001D329">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rPr>
          <w:rFonts w:ascii="宋体" w:hAnsi="宋体" w:eastAsia="方正仿宋_GBK" w:cs="方正仿宋_GBK"/>
          <w:sz w:val="32"/>
        </w:rPr>
      </w:pPr>
      <w:r>
        <w:rPr>
          <w:rFonts w:hint="eastAsia" w:ascii="宋体" w:hAnsi="宋体" w:eastAsia="方正仿宋_GBK" w:cs="方正仿宋_GBK"/>
          <w:sz w:val="32"/>
          <w:szCs w:val="32"/>
        </w:rPr>
        <w:t>2024年度本单位政府采购支出总额2.15万元，其中：政府采购货物支出2.15万元。授予中小企业合同金额2.15万元，占政府采购支出总额的100%，其中：授予小微企业合同金额2.15万元，占政府采购支出总额的100%。</w:t>
      </w:r>
      <w:r>
        <w:rPr>
          <w:rFonts w:hint="eastAsia" w:ascii="宋体" w:hAnsi="宋体" w:eastAsia="方正仿宋_GBK" w:cs="方正仿宋_GBK"/>
          <w:sz w:val="32"/>
        </w:rPr>
        <w:t>主要用于采购单位打印机和电脑采购。</w:t>
      </w:r>
    </w:p>
    <w:p w14:paraId="128C5826">
      <w:pPr>
        <w:pStyle w:val="5"/>
        <w:keepNext w:val="0"/>
        <w:keepLines w:val="0"/>
        <w:pageBreakBefore w:val="0"/>
        <w:widowControl/>
        <w:kinsoku/>
        <w:wordWrap/>
        <w:overflowPunct/>
        <w:topLinePunct w:val="0"/>
        <w:autoSpaceDN/>
        <w:bidi w:val="0"/>
        <w:spacing w:before="0" w:beforeAutospacing="0" w:after="0" w:afterAutospacing="0" w:line="579" w:lineRule="exact"/>
        <w:ind w:firstLine="640" w:firstLineChars="200"/>
        <w:jc w:val="both"/>
        <w:textAlignment w:val="auto"/>
        <w:outlineLvl w:val="0"/>
        <w:rPr>
          <w:rFonts w:ascii="宋体" w:hAnsi="宋体" w:eastAsia="方正黑体_GBK" w:cs="方正黑体_GBK"/>
          <w:bCs/>
          <w:sz w:val="32"/>
          <w:szCs w:val="32"/>
        </w:rPr>
      </w:pPr>
      <w:r>
        <w:rPr>
          <w:rStyle w:val="8"/>
          <w:rFonts w:hint="eastAsia" w:ascii="宋体" w:hAnsi="宋体" w:eastAsia="方正黑体_GBK" w:cs="方正黑体_GBK"/>
          <w:b w:val="0"/>
          <w:bCs/>
          <w:sz w:val="32"/>
          <w:szCs w:val="32"/>
          <w:shd w:val="clear" w:color="auto" w:fill="FFFFFF"/>
        </w:rPr>
        <w:t>五、预算绩效管理情况</w:t>
      </w:r>
    </w:p>
    <w:p w14:paraId="444488C8">
      <w:pPr>
        <w:pStyle w:val="5"/>
        <w:keepNext w:val="0"/>
        <w:keepLines w:val="0"/>
        <w:pageBreakBefore w:val="0"/>
        <w:widowControl/>
        <w:kinsoku/>
        <w:wordWrap/>
        <w:overflowPunct/>
        <w:topLinePunct w:val="0"/>
        <w:autoSpaceDN/>
        <w:bidi w:val="0"/>
        <w:adjustRightInd w:val="0"/>
        <w:spacing w:before="0" w:beforeAutospacing="0" w:after="0" w:afterAutospacing="0" w:line="579" w:lineRule="exact"/>
        <w:ind w:firstLine="640" w:firstLineChars="200"/>
        <w:jc w:val="both"/>
        <w:textAlignment w:val="auto"/>
        <w:outlineLvl w:val="1"/>
        <w:rPr>
          <w:rFonts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rPr>
        <w:t>（一）预算绩效管理工作开展情况</w:t>
      </w:r>
    </w:p>
    <w:p w14:paraId="3366FB50">
      <w:pPr>
        <w:pStyle w:val="5"/>
        <w:keepNext w:val="0"/>
        <w:keepLines w:val="0"/>
        <w:pageBreakBefore w:val="0"/>
        <w:widowControl/>
        <w:kinsoku/>
        <w:wordWrap/>
        <w:overflowPunct/>
        <w:topLinePunct w:val="0"/>
        <w:autoSpaceDN/>
        <w:bidi w:val="0"/>
        <w:adjustRightInd w:val="0"/>
        <w:spacing w:before="0" w:beforeAutospacing="0" w:after="0" w:afterAutospacing="0" w:line="579"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rPr>
        <w:t>根据预算绩效管理要求，我单位对9个项目开展了绩效自评，其中，以填报目标自评表形式开展自评9项，涉及资金1278.48万元。</w:t>
      </w:r>
    </w:p>
    <w:p w14:paraId="6CEE98FF">
      <w:pPr>
        <w:pStyle w:val="5"/>
        <w:keepNext w:val="0"/>
        <w:keepLines w:val="0"/>
        <w:pageBreakBefore w:val="0"/>
        <w:widowControl/>
        <w:kinsoku/>
        <w:wordWrap/>
        <w:overflowPunct/>
        <w:topLinePunct w:val="0"/>
        <w:autoSpaceDN/>
        <w:bidi w:val="0"/>
        <w:adjustRightInd w:val="0"/>
        <w:spacing w:before="0" w:beforeAutospacing="0" w:after="0" w:afterAutospacing="0" w:line="579" w:lineRule="exact"/>
        <w:ind w:firstLine="640" w:firstLineChars="200"/>
        <w:jc w:val="both"/>
        <w:textAlignment w:val="auto"/>
        <w:outlineLvl w:val="1"/>
        <w:rPr>
          <w:rStyle w:val="14"/>
          <w:rFonts w:ascii="宋体" w:hAnsi="宋体" w:eastAsia="方正楷体_GBK" w:cs="方正楷体_GBK"/>
          <w:b w:val="0"/>
          <w:bCs/>
          <w:kern w:val="2"/>
          <w:sz w:val="32"/>
          <w:szCs w:val="32"/>
          <w:shd w:val="clear" w:color="auto" w:fill="FFFFFF"/>
        </w:rPr>
      </w:pPr>
      <w:r>
        <w:rPr>
          <w:rStyle w:val="14"/>
          <w:rFonts w:hint="eastAsia" w:ascii="宋体" w:hAnsi="宋体" w:eastAsia="方正楷体_GBK" w:cs="方正楷体_GBK"/>
          <w:b w:val="0"/>
          <w:bCs/>
          <w:kern w:val="2"/>
          <w:sz w:val="32"/>
          <w:szCs w:val="32"/>
          <w:shd w:val="clear" w:color="auto" w:fill="FFFFFF"/>
        </w:rPr>
        <w:t>（二）绩效自评结果</w:t>
      </w:r>
    </w:p>
    <w:p w14:paraId="545D60FC">
      <w:pPr>
        <w:pStyle w:val="5"/>
        <w:keepNext w:val="0"/>
        <w:keepLines w:val="0"/>
        <w:pageBreakBefore w:val="0"/>
        <w:widowControl/>
        <w:kinsoku/>
        <w:wordWrap/>
        <w:overflowPunct/>
        <w:topLinePunct w:val="0"/>
        <w:autoSpaceDN/>
        <w:bidi w:val="0"/>
        <w:adjustRightInd w:val="0"/>
        <w:spacing w:before="0" w:beforeAutospacing="0" w:after="0" w:afterAutospacing="0" w:line="579" w:lineRule="exact"/>
        <w:ind w:firstLine="643" w:firstLineChars="200"/>
        <w:jc w:val="both"/>
        <w:textAlignment w:val="auto"/>
        <w:rPr>
          <w:rFonts w:ascii="方正黑体_GBK" w:eastAsia="方正黑体_GBK" w:cs="方正黑体_GBK"/>
          <w:color w:val="000000"/>
          <w:sz w:val="36"/>
          <w:szCs w:val="36"/>
        </w:rPr>
      </w:pPr>
      <w:r>
        <w:rPr>
          <w:rFonts w:hint="eastAsia" w:ascii="宋体" w:hAnsi="宋体" w:eastAsia="方正仿宋_GBK" w:cs="方正仿宋_GBK"/>
          <w:b/>
          <w:bCs/>
          <w:sz w:val="32"/>
        </w:rPr>
        <w:t>1. 绩效目标自评表</w:t>
      </w:r>
    </w:p>
    <w:p w14:paraId="74ECD104">
      <w:pPr>
        <w:pStyle w:val="9"/>
        <w:tabs>
          <w:tab w:val="center" w:pos="4153"/>
          <w:tab w:val="left" w:pos="7275"/>
        </w:tabs>
        <w:spacing w:line="579" w:lineRule="exact"/>
        <w:ind w:firstLine="0" w:firstLineChars="0"/>
        <w:jc w:val="center"/>
        <w:rPr>
          <w:rFonts w:ascii="方正黑体_GBK" w:eastAsia="方正黑体_GBK" w:cs="方正黑体_GBK"/>
          <w:color w:val="000000"/>
          <w:kern w:val="0"/>
          <w:sz w:val="36"/>
          <w:szCs w:val="36"/>
        </w:rPr>
      </w:pPr>
      <w:r>
        <w:rPr>
          <w:rFonts w:hint="eastAsia" w:ascii="方正黑体_GBK" w:eastAsia="方正黑体_GBK" w:cs="方正黑体_GBK"/>
          <w:color w:val="000000"/>
          <w:kern w:val="0"/>
          <w:sz w:val="36"/>
          <w:szCs w:val="36"/>
        </w:rPr>
        <w:t>2024年度项目绩效自评表</w:t>
      </w:r>
    </w:p>
    <w:tbl>
      <w:tblPr>
        <w:tblStyle w:val="6"/>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63"/>
        <w:gridCol w:w="224"/>
        <w:gridCol w:w="850"/>
        <w:gridCol w:w="830"/>
        <w:gridCol w:w="619"/>
        <w:gridCol w:w="220"/>
        <w:gridCol w:w="840"/>
        <w:gridCol w:w="840"/>
        <w:gridCol w:w="839"/>
        <w:gridCol w:w="419"/>
        <w:gridCol w:w="420"/>
        <w:gridCol w:w="629"/>
        <w:gridCol w:w="210"/>
        <w:gridCol w:w="875"/>
      </w:tblGrid>
      <w:tr w14:paraId="550E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noWrap/>
            <w:vAlign w:val="center"/>
          </w:tcPr>
          <w:p w14:paraId="4F0D0FB5">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73DB1477">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3986" w:type="dxa"/>
            <w:gridSpan w:val="5"/>
            <w:noWrap/>
            <w:vAlign w:val="center"/>
          </w:tcPr>
          <w:p w14:paraId="1BAA4809">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应急干部培训费</w:t>
            </w:r>
          </w:p>
        </w:tc>
        <w:tc>
          <w:tcPr>
            <w:tcW w:w="1060" w:type="dxa"/>
            <w:gridSpan w:val="2"/>
            <w:noWrap/>
            <w:vAlign w:val="center"/>
          </w:tcPr>
          <w:p w14:paraId="0C9A583F">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14:paraId="330DA110">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14:paraId="6F5566C4">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4232" w:type="dxa"/>
            <w:gridSpan w:val="7"/>
            <w:noWrap/>
            <w:vAlign w:val="center"/>
          </w:tcPr>
          <w:p w14:paraId="5632C12C">
            <w:pPr>
              <w:widowControl/>
              <w:snapToGrid w:val="0"/>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100</w:t>
            </w:r>
          </w:p>
        </w:tc>
      </w:tr>
      <w:tr w14:paraId="6136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846" w:type="dxa"/>
            <w:noWrap/>
            <w:vAlign w:val="center"/>
          </w:tcPr>
          <w:p w14:paraId="5ACB7414">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项目主管</w:t>
            </w:r>
          </w:p>
          <w:p w14:paraId="2A2EEFBE">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463" w:type="dxa"/>
            <w:noWrap/>
            <w:vAlign w:val="center"/>
          </w:tcPr>
          <w:p w14:paraId="3A025065">
            <w:pPr>
              <w:widowControl/>
              <w:snapToGrid w:val="0"/>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603-重庆市江津区应急管理局</w:t>
            </w:r>
          </w:p>
        </w:tc>
        <w:tc>
          <w:tcPr>
            <w:tcW w:w="1074" w:type="dxa"/>
            <w:gridSpan w:val="2"/>
            <w:noWrap/>
            <w:vAlign w:val="center"/>
          </w:tcPr>
          <w:p w14:paraId="466BA522">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财政归口科室</w:t>
            </w:r>
          </w:p>
        </w:tc>
        <w:tc>
          <w:tcPr>
            <w:tcW w:w="1449" w:type="dxa"/>
            <w:gridSpan w:val="2"/>
            <w:noWrap/>
            <w:vAlign w:val="center"/>
          </w:tcPr>
          <w:p w14:paraId="614311EE">
            <w:pPr>
              <w:widowControl/>
              <w:snapToGrid w:val="0"/>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006-产业发展科</w:t>
            </w:r>
          </w:p>
        </w:tc>
        <w:tc>
          <w:tcPr>
            <w:tcW w:w="1060" w:type="dxa"/>
            <w:gridSpan w:val="2"/>
            <w:noWrap/>
            <w:vAlign w:val="center"/>
          </w:tcPr>
          <w:p w14:paraId="42B5B3FF">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70F0AB74">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840" w:type="dxa"/>
            <w:noWrap/>
            <w:vAlign w:val="center"/>
          </w:tcPr>
          <w:p w14:paraId="1DF47DFB">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张燕</w:t>
            </w:r>
          </w:p>
        </w:tc>
        <w:tc>
          <w:tcPr>
            <w:tcW w:w="1258" w:type="dxa"/>
            <w:gridSpan w:val="2"/>
            <w:noWrap/>
            <w:vAlign w:val="center"/>
          </w:tcPr>
          <w:p w14:paraId="3968A74D">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2134" w:type="dxa"/>
            <w:gridSpan w:val="4"/>
            <w:noWrap/>
            <w:vAlign w:val="center"/>
          </w:tcPr>
          <w:p w14:paraId="4A5B0EE7">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15215160217</w:t>
            </w:r>
          </w:p>
        </w:tc>
      </w:tr>
      <w:tr w14:paraId="77EA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6" w:type="dxa"/>
            <w:vMerge w:val="restart"/>
            <w:noWrap/>
            <w:textDirection w:val="tbRlV"/>
            <w:vAlign w:val="center"/>
          </w:tcPr>
          <w:p w14:paraId="3BFC3E8E">
            <w:pPr>
              <w:widowControl/>
              <w:snapToGrid w:val="0"/>
              <w:ind w:left="113" w:right="113"/>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463" w:type="dxa"/>
            <w:vMerge w:val="restart"/>
            <w:noWrap/>
            <w:vAlign w:val="center"/>
          </w:tcPr>
          <w:p w14:paraId="02FBA4AA">
            <w:pPr>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074" w:type="dxa"/>
            <w:gridSpan w:val="2"/>
            <w:noWrap/>
            <w:vAlign w:val="center"/>
          </w:tcPr>
          <w:p w14:paraId="2D158ED3">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1AE072B9">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449" w:type="dxa"/>
            <w:gridSpan w:val="2"/>
            <w:noWrap/>
            <w:vAlign w:val="center"/>
          </w:tcPr>
          <w:p w14:paraId="24F5F474">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全年（调整）预算数</w:t>
            </w:r>
          </w:p>
        </w:tc>
        <w:tc>
          <w:tcPr>
            <w:tcW w:w="1900" w:type="dxa"/>
            <w:gridSpan w:val="3"/>
            <w:noWrap/>
            <w:vAlign w:val="center"/>
          </w:tcPr>
          <w:p w14:paraId="1C9493F5">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1258" w:type="dxa"/>
            <w:gridSpan w:val="2"/>
            <w:noWrap/>
            <w:vAlign w:val="center"/>
          </w:tcPr>
          <w:p w14:paraId="4407C139">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361B4277">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049" w:type="dxa"/>
            <w:gridSpan w:val="2"/>
            <w:noWrap/>
            <w:vAlign w:val="center"/>
          </w:tcPr>
          <w:p w14:paraId="3EA2D3AE">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55D8C604">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085" w:type="dxa"/>
            <w:gridSpan w:val="2"/>
            <w:noWrap/>
            <w:vAlign w:val="center"/>
          </w:tcPr>
          <w:p w14:paraId="0C768FE8">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2C70AF3F">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775329CC">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36B1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6" w:type="dxa"/>
            <w:vMerge w:val="continue"/>
            <w:noWrap/>
            <w:vAlign w:val="center"/>
          </w:tcPr>
          <w:p w14:paraId="29D1BA7B"/>
        </w:tc>
        <w:tc>
          <w:tcPr>
            <w:tcW w:w="1463" w:type="dxa"/>
            <w:vMerge w:val="continue"/>
            <w:noWrap/>
            <w:vAlign w:val="center"/>
          </w:tcPr>
          <w:p w14:paraId="5D4EFE37"/>
        </w:tc>
        <w:tc>
          <w:tcPr>
            <w:tcW w:w="1074" w:type="dxa"/>
            <w:gridSpan w:val="2"/>
            <w:noWrap/>
            <w:vAlign w:val="center"/>
          </w:tcPr>
          <w:p w14:paraId="3E44763A">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7.00</w:t>
            </w:r>
          </w:p>
        </w:tc>
        <w:tc>
          <w:tcPr>
            <w:tcW w:w="1449" w:type="dxa"/>
            <w:gridSpan w:val="2"/>
            <w:noWrap/>
            <w:vAlign w:val="center"/>
          </w:tcPr>
          <w:p w14:paraId="51C4BD97">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3.50</w:t>
            </w:r>
          </w:p>
        </w:tc>
        <w:tc>
          <w:tcPr>
            <w:tcW w:w="1900" w:type="dxa"/>
            <w:gridSpan w:val="3"/>
            <w:noWrap/>
            <w:vAlign w:val="center"/>
          </w:tcPr>
          <w:p w14:paraId="1F5CE958">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3.50</w:t>
            </w:r>
          </w:p>
        </w:tc>
        <w:tc>
          <w:tcPr>
            <w:tcW w:w="1258" w:type="dxa"/>
            <w:gridSpan w:val="2"/>
            <w:noWrap/>
            <w:vAlign w:val="center"/>
          </w:tcPr>
          <w:p w14:paraId="208676D9">
            <w:pPr>
              <w:widowControl/>
              <w:snapToGrid w:val="0"/>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100</w:t>
            </w:r>
          </w:p>
        </w:tc>
        <w:tc>
          <w:tcPr>
            <w:tcW w:w="1049" w:type="dxa"/>
            <w:gridSpan w:val="2"/>
            <w:noWrap/>
            <w:vAlign w:val="center"/>
          </w:tcPr>
          <w:p w14:paraId="471477DB">
            <w:pPr>
              <w:widowControl/>
              <w:snapToGrid w:val="0"/>
              <w:jc w:val="center"/>
              <w:rPr>
                <w:rFonts w:ascii="宋体" w:hAnsi="宋体" w:eastAsia="方正仿宋_GBK" w:cs="方正仿宋_GBK"/>
                <w:kern w:val="0"/>
                <w:sz w:val="24"/>
                <w:szCs w:val="24"/>
              </w:rPr>
            </w:pPr>
            <w:r>
              <w:rPr>
                <w:rFonts w:ascii="宋体" w:hAnsi="宋体" w:eastAsia="方正仿宋_GBK" w:cs="方正仿宋_GBK"/>
                <w:kern w:val="0"/>
                <w:sz w:val="24"/>
                <w:szCs w:val="24"/>
              </w:rPr>
              <w:t>10</w:t>
            </w:r>
          </w:p>
        </w:tc>
        <w:tc>
          <w:tcPr>
            <w:tcW w:w="1085" w:type="dxa"/>
            <w:gridSpan w:val="2"/>
            <w:noWrap/>
            <w:vAlign w:val="center"/>
          </w:tcPr>
          <w:p w14:paraId="055AD520">
            <w:pPr>
              <w:widowControl/>
              <w:snapToGrid w:val="0"/>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10</w:t>
            </w:r>
          </w:p>
        </w:tc>
      </w:tr>
      <w:tr w14:paraId="6723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6" w:type="dxa"/>
            <w:vMerge w:val="continue"/>
            <w:noWrap/>
            <w:vAlign w:val="center"/>
          </w:tcPr>
          <w:p w14:paraId="4593FF65"/>
        </w:tc>
        <w:tc>
          <w:tcPr>
            <w:tcW w:w="1463" w:type="dxa"/>
            <w:noWrap/>
            <w:vAlign w:val="center"/>
          </w:tcPr>
          <w:p w14:paraId="65968A2E">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14:paraId="121CD685">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财政拨款</w:t>
            </w:r>
          </w:p>
        </w:tc>
        <w:tc>
          <w:tcPr>
            <w:tcW w:w="1074" w:type="dxa"/>
            <w:gridSpan w:val="2"/>
            <w:noWrap/>
            <w:vAlign w:val="center"/>
          </w:tcPr>
          <w:p w14:paraId="50BA1430">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7.00</w:t>
            </w:r>
          </w:p>
        </w:tc>
        <w:tc>
          <w:tcPr>
            <w:tcW w:w="1449" w:type="dxa"/>
            <w:gridSpan w:val="2"/>
            <w:noWrap/>
            <w:vAlign w:val="center"/>
          </w:tcPr>
          <w:p w14:paraId="71DC5E06">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3.50</w:t>
            </w:r>
          </w:p>
        </w:tc>
        <w:tc>
          <w:tcPr>
            <w:tcW w:w="1900" w:type="dxa"/>
            <w:gridSpan w:val="3"/>
            <w:noWrap/>
            <w:vAlign w:val="center"/>
          </w:tcPr>
          <w:p w14:paraId="2B8EA981">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3.50</w:t>
            </w:r>
          </w:p>
        </w:tc>
        <w:tc>
          <w:tcPr>
            <w:tcW w:w="1258" w:type="dxa"/>
            <w:gridSpan w:val="2"/>
            <w:noWrap/>
            <w:vAlign w:val="center"/>
          </w:tcPr>
          <w:p w14:paraId="25559846">
            <w:pPr>
              <w:widowControl/>
              <w:snapToGrid w:val="0"/>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100</w:t>
            </w:r>
          </w:p>
        </w:tc>
        <w:tc>
          <w:tcPr>
            <w:tcW w:w="1049" w:type="dxa"/>
            <w:gridSpan w:val="2"/>
            <w:noWrap/>
            <w:vAlign w:val="center"/>
          </w:tcPr>
          <w:p w14:paraId="260328F8">
            <w:pPr>
              <w:widowControl/>
              <w:snapToGrid w:val="0"/>
              <w:jc w:val="center"/>
              <w:rPr>
                <w:rFonts w:ascii="宋体" w:hAnsi="宋体" w:eastAsia="方正仿宋_GBK" w:cs="方正仿宋_GBK"/>
                <w:kern w:val="0"/>
                <w:sz w:val="24"/>
                <w:szCs w:val="24"/>
              </w:rPr>
            </w:pPr>
            <w:r>
              <w:rPr>
                <w:rFonts w:ascii="宋体" w:hAnsi="宋体" w:eastAsia="方正仿宋_GBK" w:cs="方正仿宋_GBK"/>
                <w:kern w:val="0"/>
                <w:sz w:val="24"/>
                <w:szCs w:val="24"/>
              </w:rPr>
              <w:t>10</w:t>
            </w:r>
          </w:p>
        </w:tc>
        <w:tc>
          <w:tcPr>
            <w:tcW w:w="1085" w:type="dxa"/>
            <w:gridSpan w:val="2"/>
            <w:noWrap/>
            <w:vAlign w:val="center"/>
          </w:tcPr>
          <w:p w14:paraId="0F1CBC11">
            <w:pPr>
              <w:widowControl/>
              <w:snapToGrid w:val="0"/>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10</w:t>
            </w:r>
          </w:p>
        </w:tc>
      </w:tr>
      <w:tr w14:paraId="4CF5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6" w:type="dxa"/>
            <w:vMerge w:val="restart"/>
            <w:noWrap/>
            <w:vAlign w:val="center"/>
          </w:tcPr>
          <w:p w14:paraId="4F661CAF">
            <w:pPr>
              <w:widowControl/>
              <w:snapToGrid w:val="0"/>
              <w:jc w:val="center"/>
              <w:rPr>
                <w:rFonts w:ascii="宋体" w:hAnsi="宋体"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当年绩效目标</w:t>
            </w:r>
          </w:p>
        </w:tc>
        <w:tc>
          <w:tcPr>
            <w:tcW w:w="3367" w:type="dxa"/>
            <w:gridSpan w:val="4"/>
            <w:noWrap/>
            <w:vAlign w:val="center"/>
          </w:tcPr>
          <w:p w14:paraId="7960B338">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2519" w:type="dxa"/>
            <w:gridSpan w:val="4"/>
            <w:noWrap/>
            <w:vAlign w:val="center"/>
          </w:tcPr>
          <w:p w14:paraId="7EC0047A">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392" w:type="dxa"/>
            <w:gridSpan w:val="6"/>
            <w:noWrap/>
            <w:vAlign w:val="center"/>
          </w:tcPr>
          <w:p w14:paraId="63393488">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099B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6" w:type="dxa"/>
            <w:vMerge w:val="continue"/>
            <w:noWrap/>
            <w:vAlign w:val="center"/>
          </w:tcPr>
          <w:p w14:paraId="6C4B459E"/>
        </w:tc>
        <w:tc>
          <w:tcPr>
            <w:tcW w:w="3367" w:type="dxa"/>
            <w:gridSpan w:val="4"/>
            <w:noWrap/>
            <w:vAlign w:val="center"/>
          </w:tcPr>
          <w:p w14:paraId="02866177">
            <w:pPr>
              <w:widowControl/>
              <w:snapToGrid w:val="0"/>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提升全区应急干部综合素质和业务能力，有效履行防范化解重大安全风险，及时应对处置各类灾害事故的重要职责。</w:t>
            </w:r>
          </w:p>
        </w:tc>
        <w:tc>
          <w:tcPr>
            <w:tcW w:w="2519" w:type="dxa"/>
            <w:gridSpan w:val="4"/>
            <w:noWrap/>
            <w:vAlign w:val="center"/>
          </w:tcPr>
          <w:p w14:paraId="7E682B7D">
            <w:pPr>
              <w:widowControl/>
              <w:snapToGrid w:val="0"/>
              <w:rPr>
                <w:rFonts w:ascii="宋体" w:hAnsi="宋体" w:eastAsia="方正仿宋_GBK" w:cs="方正仿宋_GBK"/>
                <w:color w:val="000000"/>
                <w:kern w:val="0"/>
                <w:sz w:val="24"/>
                <w:szCs w:val="24"/>
              </w:rPr>
            </w:pPr>
          </w:p>
        </w:tc>
        <w:tc>
          <w:tcPr>
            <w:tcW w:w="3392" w:type="dxa"/>
            <w:gridSpan w:val="6"/>
            <w:noWrap/>
            <w:vAlign w:val="center"/>
          </w:tcPr>
          <w:p w14:paraId="57E965B5">
            <w:pPr>
              <w:widowControl/>
              <w:snapToGrid w:val="0"/>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采取“网络培训+视频讲座+集中调训”方式强化安全生产培训，线上组织网络学习5期、700余人次，线下开展培训班2次、300余人次。</w:t>
            </w:r>
          </w:p>
        </w:tc>
      </w:tr>
      <w:tr w14:paraId="01CC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46" w:type="dxa"/>
            <w:vMerge w:val="restart"/>
            <w:noWrap/>
            <w:textDirection w:val="tbRlV"/>
            <w:vAlign w:val="center"/>
          </w:tcPr>
          <w:p w14:paraId="45817354">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1687" w:type="dxa"/>
            <w:gridSpan w:val="2"/>
            <w:noWrap/>
            <w:vAlign w:val="center"/>
          </w:tcPr>
          <w:p w14:paraId="26294243">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F5CC387">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850" w:type="dxa"/>
            <w:noWrap/>
            <w:vAlign w:val="center"/>
          </w:tcPr>
          <w:p w14:paraId="478D6C2F">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14:paraId="4364DEF7">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830" w:type="dxa"/>
            <w:noWrap/>
            <w:vAlign w:val="center"/>
          </w:tcPr>
          <w:p w14:paraId="514B3CE7">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658C47D4">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839" w:type="dxa"/>
            <w:gridSpan w:val="2"/>
            <w:noWrap/>
            <w:vAlign w:val="center"/>
          </w:tcPr>
          <w:p w14:paraId="773FFFEB">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0EDD581B">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840" w:type="dxa"/>
            <w:noWrap/>
            <w:vAlign w:val="center"/>
          </w:tcPr>
          <w:p w14:paraId="4EB0EFA2">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14:paraId="7D8611A7">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840" w:type="dxa"/>
            <w:noWrap/>
            <w:vAlign w:val="center"/>
          </w:tcPr>
          <w:p w14:paraId="46A9B9E2">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偏离度（%）</w:t>
            </w:r>
          </w:p>
        </w:tc>
        <w:tc>
          <w:tcPr>
            <w:tcW w:w="839" w:type="dxa"/>
            <w:noWrap/>
            <w:vAlign w:val="center"/>
          </w:tcPr>
          <w:p w14:paraId="13AE6441">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1D9198EF">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14:paraId="6CDF327E">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839" w:type="dxa"/>
            <w:gridSpan w:val="2"/>
            <w:noWrap/>
            <w:vAlign w:val="center"/>
          </w:tcPr>
          <w:p w14:paraId="4C29184C">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04522417">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14:paraId="5A532535">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39" w:type="dxa"/>
            <w:gridSpan w:val="2"/>
            <w:noWrap/>
            <w:vAlign w:val="center"/>
          </w:tcPr>
          <w:p w14:paraId="4528DBF1">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14:paraId="48632CF9">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75" w:type="dxa"/>
            <w:noWrap/>
            <w:vAlign w:val="center"/>
          </w:tcPr>
          <w:p w14:paraId="24D56A02">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说明</w:t>
            </w:r>
          </w:p>
        </w:tc>
      </w:tr>
      <w:tr w14:paraId="2FE8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46" w:type="dxa"/>
            <w:vMerge w:val="continue"/>
            <w:noWrap/>
            <w:vAlign w:val="center"/>
          </w:tcPr>
          <w:p w14:paraId="5C496841"/>
        </w:tc>
        <w:tc>
          <w:tcPr>
            <w:tcW w:w="1687" w:type="dxa"/>
            <w:gridSpan w:val="2"/>
            <w:noWrap/>
            <w:vAlign w:val="center"/>
          </w:tcPr>
          <w:p w14:paraId="3D06E0D6">
            <w:pPr>
              <w:widowControl/>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培训班次</w:t>
            </w:r>
          </w:p>
        </w:tc>
        <w:tc>
          <w:tcPr>
            <w:tcW w:w="850" w:type="dxa"/>
            <w:noWrap/>
            <w:vAlign w:val="center"/>
          </w:tcPr>
          <w:p w14:paraId="2488B5D2">
            <w:pPr>
              <w:widowControl/>
              <w:ind w:firstLine="240" w:firstLineChars="100"/>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次</w:t>
            </w:r>
          </w:p>
        </w:tc>
        <w:tc>
          <w:tcPr>
            <w:tcW w:w="830" w:type="dxa"/>
            <w:noWrap/>
            <w:vAlign w:val="center"/>
          </w:tcPr>
          <w:p w14:paraId="1BA889A0">
            <w:pPr>
              <w:widowControl/>
              <w:ind w:firstLine="240" w:firstLineChars="100"/>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c>
          <w:tcPr>
            <w:tcW w:w="839" w:type="dxa"/>
            <w:gridSpan w:val="2"/>
            <w:noWrap/>
            <w:vAlign w:val="center"/>
          </w:tcPr>
          <w:p w14:paraId="74DD93A6">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w:t>
            </w:r>
          </w:p>
        </w:tc>
        <w:tc>
          <w:tcPr>
            <w:tcW w:w="840" w:type="dxa"/>
            <w:noWrap/>
            <w:vAlign w:val="center"/>
          </w:tcPr>
          <w:p w14:paraId="70A85007">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w:t>
            </w:r>
          </w:p>
        </w:tc>
        <w:tc>
          <w:tcPr>
            <w:tcW w:w="840" w:type="dxa"/>
            <w:noWrap/>
            <w:vAlign w:val="center"/>
          </w:tcPr>
          <w:p w14:paraId="42FD05E6">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0</w:t>
            </w:r>
          </w:p>
        </w:tc>
        <w:tc>
          <w:tcPr>
            <w:tcW w:w="839" w:type="dxa"/>
            <w:noWrap/>
            <w:vAlign w:val="center"/>
          </w:tcPr>
          <w:p w14:paraId="074338ED">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100</w:t>
            </w:r>
          </w:p>
        </w:tc>
        <w:tc>
          <w:tcPr>
            <w:tcW w:w="839" w:type="dxa"/>
            <w:gridSpan w:val="2"/>
            <w:noWrap/>
            <w:vAlign w:val="center"/>
          </w:tcPr>
          <w:p w14:paraId="56EF6130">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839" w:type="dxa"/>
            <w:gridSpan w:val="2"/>
            <w:noWrap/>
            <w:vAlign w:val="center"/>
          </w:tcPr>
          <w:p w14:paraId="17BE4182">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875" w:type="dxa"/>
            <w:noWrap/>
            <w:vAlign w:val="center"/>
          </w:tcPr>
          <w:p w14:paraId="622CD011">
            <w:pPr>
              <w:widowControl/>
              <w:snapToGrid w:val="0"/>
              <w:jc w:val="center"/>
              <w:rPr>
                <w:rFonts w:ascii="宋体" w:hAnsi="宋体" w:eastAsia="方正仿宋_GBK" w:cs="方正仿宋_GBK"/>
                <w:color w:val="000000"/>
                <w:kern w:val="0"/>
                <w:sz w:val="24"/>
                <w:szCs w:val="24"/>
              </w:rPr>
            </w:pPr>
          </w:p>
        </w:tc>
      </w:tr>
      <w:tr w14:paraId="168F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46" w:type="dxa"/>
            <w:vMerge w:val="continue"/>
            <w:noWrap/>
            <w:vAlign w:val="center"/>
          </w:tcPr>
          <w:p w14:paraId="6594A1B0"/>
        </w:tc>
        <w:tc>
          <w:tcPr>
            <w:tcW w:w="1687" w:type="dxa"/>
            <w:gridSpan w:val="2"/>
            <w:noWrap/>
            <w:vAlign w:val="center"/>
          </w:tcPr>
          <w:p w14:paraId="7879161E">
            <w:pPr>
              <w:widowControl/>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培训人次</w:t>
            </w:r>
          </w:p>
        </w:tc>
        <w:tc>
          <w:tcPr>
            <w:tcW w:w="850" w:type="dxa"/>
            <w:noWrap/>
            <w:vAlign w:val="center"/>
          </w:tcPr>
          <w:p w14:paraId="59A15886">
            <w:pPr>
              <w:widowControl/>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人次</w:t>
            </w:r>
          </w:p>
        </w:tc>
        <w:tc>
          <w:tcPr>
            <w:tcW w:w="830" w:type="dxa"/>
            <w:noWrap/>
            <w:vAlign w:val="center"/>
          </w:tcPr>
          <w:p w14:paraId="5ABEF61E">
            <w:pPr>
              <w:widowControl/>
              <w:ind w:firstLine="240" w:firstLineChars="100"/>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c>
          <w:tcPr>
            <w:tcW w:w="839" w:type="dxa"/>
            <w:gridSpan w:val="2"/>
            <w:noWrap/>
            <w:vAlign w:val="center"/>
          </w:tcPr>
          <w:p w14:paraId="7910E5FD">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300</w:t>
            </w:r>
          </w:p>
        </w:tc>
        <w:tc>
          <w:tcPr>
            <w:tcW w:w="840" w:type="dxa"/>
            <w:noWrap/>
            <w:vAlign w:val="center"/>
          </w:tcPr>
          <w:p w14:paraId="1E5E55DE">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307</w:t>
            </w:r>
          </w:p>
        </w:tc>
        <w:tc>
          <w:tcPr>
            <w:tcW w:w="840" w:type="dxa"/>
            <w:noWrap/>
            <w:vAlign w:val="center"/>
          </w:tcPr>
          <w:p w14:paraId="260D6B53">
            <w:pPr>
              <w:widowControl/>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2.33</w:t>
            </w:r>
          </w:p>
        </w:tc>
        <w:tc>
          <w:tcPr>
            <w:tcW w:w="839" w:type="dxa"/>
            <w:noWrap/>
            <w:vAlign w:val="center"/>
          </w:tcPr>
          <w:p w14:paraId="7E51A8BD">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100</w:t>
            </w:r>
          </w:p>
        </w:tc>
        <w:tc>
          <w:tcPr>
            <w:tcW w:w="839" w:type="dxa"/>
            <w:gridSpan w:val="2"/>
            <w:noWrap/>
            <w:vAlign w:val="center"/>
          </w:tcPr>
          <w:p w14:paraId="245EBB2B">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839" w:type="dxa"/>
            <w:gridSpan w:val="2"/>
            <w:noWrap/>
            <w:vAlign w:val="center"/>
          </w:tcPr>
          <w:p w14:paraId="4DDCFA14">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875" w:type="dxa"/>
            <w:noWrap/>
            <w:vAlign w:val="center"/>
          </w:tcPr>
          <w:p w14:paraId="63AC4661">
            <w:pPr>
              <w:widowControl/>
              <w:snapToGrid w:val="0"/>
              <w:jc w:val="center"/>
              <w:rPr>
                <w:rFonts w:ascii="宋体" w:hAnsi="宋体" w:eastAsia="方正仿宋_GBK" w:cs="方正仿宋_GBK"/>
                <w:color w:val="000000"/>
                <w:kern w:val="0"/>
                <w:sz w:val="24"/>
                <w:szCs w:val="24"/>
              </w:rPr>
            </w:pPr>
          </w:p>
        </w:tc>
      </w:tr>
      <w:tr w14:paraId="6F34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46" w:type="dxa"/>
            <w:vMerge w:val="continue"/>
            <w:noWrap/>
            <w:vAlign w:val="center"/>
          </w:tcPr>
          <w:p w14:paraId="60C25CD3"/>
        </w:tc>
        <w:tc>
          <w:tcPr>
            <w:tcW w:w="1687" w:type="dxa"/>
            <w:gridSpan w:val="2"/>
            <w:noWrap/>
            <w:vAlign w:val="center"/>
          </w:tcPr>
          <w:p w14:paraId="2A5A6B46">
            <w:pPr>
              <w:widowControl/>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培训天数</w:t>
            </w:r>
          </w:p>
        </w:tc>
        <w:tc>
          <w:tcPr>
            <w:tcW w:w="850" w:type="dxa"/>
            <w:noWrap/>
            <w:vAlign w:val="center"/>
          </w:tcPr>
          <w:p w14:paraId="77A7C81E">
            <w:pPr>
              <w:widowControl/>
              <w:ind w:firstLine="240" w:firstLineChars="100"/>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天</w:t>
            </w:r>
          </w:p>
        </w:tc>
        <w:tc>
          <w:tcPr>
            <w:tcW w:w="830" w:type="dxa"/>
            <w:noWrap/>
            <w:vAlign w:val="center"/>
          </w:tcPr>
          <w:p w14:paraId="299160DA">
            <w:pPr>
              <w:widowControl/>
              <w:ind w:firstLine="240" w:firstLineChars="100"/>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c>
          <w:tcPr>
            <w:tcW w:w="839" w:type="dxa"/>
            <w:gridSpan w:val="2"/>
            <w:noWrap/>
            <w:vAlign w:val="center"/>
          </w:tcPr>
          <w:p w14:paraId="1D3D2754">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w:t>
            </w:r>
          </w:p>
        </w:tc>
        <w:tc>
          <w:tcPr>
            <w:tcW w:w="840" w:type="dxa"/>
            <w:noWrap/>
            <w:vAlign w:val="center"/>
          </w:tcPr>
          <w:p w14:paraId="58109EBA">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w:t>
            </w:r>
          </w:p>
        </w:tc>
        <w:tc>
          <w:tcPr>
            <w:tcW w:w="840" w:type="dxa"/>
            <w:noWrap/>
            <w:vAlign w:val="center"/>
          </w:tcPr>
          <w:p w14:paraId="73CEC796">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0</w:t>
            </w:r>
          </w:p>
        </w:tc>
        <w:tc>
          <w:tcPr>
            <w:tcW w:w="839" w:type="dxa"/>
            <w:noWrap/>
            <w:vAlign w:val="center"/>
          </w:tcPr>
          <w:p w14:paraId="089DEC55">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100</w:t>
            </w:r>
          </w:p>
        </w:tc>
        <w:tc>
          <w:tcPr>
            <w:tcW w:w="839" w:type="dxa"/>
            <w:gridSpan w:val="2"/>
            <w:noWrap/>
            <w:vAlign w:val="center"/>
          </w:tcPr>
          <w:p w14:paraId="0EB7274B">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839" w:type="dxa"/>
            <w:gridSpan w:val="2"/>
            <w:noWrap/>
            <w:vAlign w:val="center"/>
          </w:tcPr>
          <w:p w14:paraId="4841816C">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875" w:type="dxa"/>
            <w:noWrap/>
            <w:vAlign w:val="center"/>
          </w:tcPr>
          <w:p w14:paraId="471E7F98">
            <w:pPr>
              <w:widowControl/>
              <w:snapToGrid w:val="0"/>
              <w:jc w:val="center"/>
              <w:rPr>
                <w:rFonts w:ascii="宋体" w:hAnsi="宋体" w:eastAsia="方正仿宋_GBK" w:cs="方正仿宋_GBK"/>
                <w:color w:val="000000"/>
                <w:kern w:val="0"/>
                <w:sz w:val="24"/>
                <w:szCs w:val="24"/>
              </w:rPr>
            </w:pPr>
          </w:p>
        </w:tc>
      </w:tr>
      <w:tr w14:paraId="63BB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46" w:type="dxa"/>
            <w:vMerge w:val="continue"/>
            <w:noWrap/>
            <w:vAlign w:val="center"/>
          </w:tcPr>
          <w:p w14:paraId="081AD7BC"/>
        </w:tc>
        <w:tc>
          <w:tcPr>
            <w:tcW w:w="1687" w:type="dxa"/>
            <w:gridSpan w:val="2"/>
            <w:noWrap/>
            <w:vAlign w:val="center"/>
          </w:tcPr>
          <w:p w14:paraId="76B60D23">
            <w:pPr>
              <w:widowControl/>
              <w:snapToGrid w:val="0"/>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培训人员合格率</w:t>
            </w:r>
          </w:p>
        </w:tc>
        <w:tc>
          <w:tcPr>
            <w:tcW w:w="850" w:type="dxa"/>
            <w:noWrap/>
            <w:vAlign w:val="center"/>
          </w:tcPr>
          <w:p w14:paraId="59993BA6">
            <w:pPr>
              <w:widowControl/>
              <w:ind w:firstLine="240" w:firstLineChars="100"/>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c>
          <w:tcPr>
            <w:tcW w:w="830" w:type="dxa"/>
            <w:noWrap/>
            <w:vAlign w:val="center"/>
          </w:tcPr>
          <w:p w14:paraId="2E3C9C5F">
            <w:pPr>
              <w:widowControl/>
              <w:ind w:firstLine="240" w:firstLineChars="100"/>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c>
          <w:tcPr>
            <w:tcW w:w="839" w:type="dxa"/>
            <w:gridSpan w:val="2"/>
            <w:noWrap/>
            <w:vAlign w:val="center"/>
          </w:tcPr>
          <w:p w14:paraId="7A3FE52B">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95</w:t>
            </w:r>
          </w:p>
        </w:tc>
        <w:tc>
          <w:tcPr>
            <w:tcW w:w="840" w:type="dxa"/>
            <w:noWrap/>
            <w:vAlign w:val="center"/>
          </w:tcPr>
          <w:p w14:paraId="611B7A5A">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95</w:t>
            </w:r>
          </w:p>
        </w:tc>
        <w:tc>
          <w:tcPr>
            <w:tcW w:w="840" w:type="dxa"/>
            <w:noWrap/>
            <w:vAlign w:val="center"/>
          </w:tcPr>
          <w:p w14:paraId="59F341DA">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0</w:t>
            </w:r>
          </w:p>
        </w:tc>
        <w:tc>
          <w:tcPr>
            <w:tcW w:w="839" w:type="dxa"/>
            <w:noWrap/>
            <w:vAlign w:val="center"/>
          </w:tcPr>
          <w:p w14:paraId="57E003F1">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100</w:t>
            </w:r>
          </w:p>
        </w:tc>
        <w:tc>
          <w:tcPr>
            <w:tcW w:w="839" w:type="dxa"/>
            <w:gridSpan w:val="2"/>
            <w:noWrap/>
            <w:vAlign w:val="center"/>
          </w:tcPr>
          <w:p w14:paraId="7B0AE421">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20</w:t>
            </w:r>
          </w:p>
        </w:tc>
        <w:tc>
          <w:tcPr>
            <w:tcW w:w="839" w:type="dxa"/>
            <w:gridSpan w:val="2"/>
            <w:noWrap/>
            <w:vAlign w:val="center"/>
          </w:tcPr>
          <w:p w14:paraId="5DC3F624">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20</w:t>
            </w:r>
          </w:p>
        </w:tc>
        <w:tc>
          <w:tcPr>
            <w:tcW w:w="875" w:type="dxa"/>
            <w:noWrap/>
            <w:vAlign w:val="center"/>
          </w:tcPr>
          <w:p w14:paraId="4A807326">
            <w:pPr>
              <w:widowControl/>
              <w:snapToGrid w:val="0"/>
              <w:jc w:val="center"/>
              <w:rPr>
                <w:rFonts w:ascii="宋体" w:hAnsi="宋体" w:eastAsia="方正仿宋_GBK" w:cs="方正仿宋_GBK"/>
                <w:color w:val="000000"/>
                <w:kern w:val="0"/>
                <w:sz w:val="24"/>
                <w:szCs w:val="24"/>
              </w:rPr>
            </w:pPr>
          </w:p>
        </w:tc>
      </w:tr>
      <w:tr w14:paraId="0554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6" w:type="dxa"/>
            <w:vMerge w:val="continue"/>
            <w:noWrap/>
            <w:vAlign w:val="center"/>
          </w:tcPr>
          <w:p w14:paraId="7ADAB54F"/>
        </w:tc>
        <w:tc>
          <w:tcPr>
            <w:tcW w:w="1687" w:type="dxa"/>
            <w:gridSpan w:val="2"/>
            <w:noWrap/>
            <w:vAlign w:val="center"/>
          </w:tcPr>
          <w:p w14:paraId="74CEC596">
            <w:pPr>
              <w:widowControl/>
              <w:snapToGrid w:val="0"/>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人均培训费用</w:t>
            </w:r>
          </w:p>
        </w:tc>
        <w:tc>
          <w:tcPr>
            <w:tcW w:w="850" w:type="dxa"/>
            <w:noWrap/>
            <w:vAlign w:val="center"/>
          </w:tcPr>
          <w:p w14:paraId="7D4957AB">
            <w:pPr>
              <w:widowControl/>
              <w:ind w:firstLine="240" w:firstLineChars="100"/>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元</w:t>
            </w:r>
          </w:p>
        </w:tc>
        <w:tc>
          <w:tcPr>
            <w:tcW w:w="830" w:type="dxa"/>
            <w:noWrap/>
            <w:vAlign w:val="center"/>
          </w:tcPr>
          <w:p w14:paraId="502C02F9">
            <w:pPr>
              <w:widowControl/>
              <w:ind w:firstLine="240" w:firstLineChars="100"/>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c>
          <w:tcPr>
            <w:tcW w:w="839" w:type="dxa"/>
            <w:gridSpan w:val="2"/>
            <w:noWrap/>
            <w:vAlign w:val="center"/>
          </w:tcPr>
          <w:p w14:paraId="37B45D76">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120</w:t>
            </w:r>
          </w:p>
        </w:tc>
        <w:tc>
          <w:tcPr>
            <w:tcW w:w="840" w:type="dxa"/>
            <w:noWrap/>
            <w:vAlign w:val="center"/>
          </w:tcPr>
          <w:p w14:paraId="31E9B9FA">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114</w:t>
            </w:r>
          </w:p>
        </w:tc>
        <w:tc>
          <w:tcPr>
            <w:tcW w:w="840" w:type="dxa"/>
            <w:noWrap/>
            <w:vAlign w:val="center"/>
          </w:tcPr>
          <w:p w14:paraId="5327A87F">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w:t>
            </w:r>
          </w:p>
        </w:tc>
        <w:tc>
          <w:tcPr>
            <w:tcW w:w="839" w:type="dxa"/>
            <w:noWrap/>
            <w:vAlign w:val="center"/>
          </w:tcPr>
          <w:p w14:paraId="58FD6643">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100</w:t>
            </w:r>
          </w:p>
        </w:tc>
        <w:tc>
          <w:tcPr>
            <w:tcW w:w="839" w:type="dxa"/>
            <w:gridSpan w:val="2"/>
            <w:noWrap/>
            <w:vAlign w:val="center"/>
          </w:tcPr>
          <w:p w14:paraId="239DCE90">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839" w:type="dxa"/>
            <w:gridSpan w:val="2"/>
            <w:noWrap/>
            <w:vAlign w:val="center"/>
          </w:tcPr>
          <w:p w14:paraId="5D0FB479">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875" w:type="dxa"/>
            <w:noWrap/>
            <w:vAlign w:val="center"/>
          </w:tcPr>
          <w:p w14:paraId="059E11E9">
            <w:pPr>
              <w:widowControl/>
              <w:snapToGrid w:val="0"/>
              <w:jc w:val="center"/>
              <w:rPr>
                <w:rFonts w:ascii="宋体" w:hAnsi="宋体" w:eastAsia="方正仿宋_GBK" w:cs="方正仿宋_GBK"/>
                <w:color w:val="000000"/>
                <w:kern w:val="0"/>
                <w:sz w:val="24"/>
                <w:szCs w:val="24"/>
              </w:rPr>
            </w:pPr>
          </w:p>
        </w:tc>
      </w:tr>
      <w:tr w14:paraId="4E23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6" w:type="dxa"/>
            <w:vMerge w:val="continue"/>
            <w:noWrap/>
            <w:vAlign w:val="center"/>
          </w:tcPr>
          <w:p w14:paraId="46C5C01F"/>
        </w:tc>
        <w:tc>
          <w:tcPr>
            <w:tcW w:w="1687" w:type="dxa"/>
            <w:gridSpan w:val="2"/>
            <w:noWrap/>
            <w:vAlign w:val="center"/>
          </w:tcPr>
          <w:p w14:paraId="5C7AC209">
            <w:pPr>
              <w:widowControl/>
              <w:snapToGrid w:val="0"/>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应急干部执法能力提升率</w:t>
            </w:r>
          </w:p>
        </w:tc>
        <w:tc>
          <w:tcPr>
            <w:tcW w:w="850" w:type="dxa"/>
            <w:noWrap/>
            <w:vAlign w:val="center"/>
          </w:tcPr>
          <w:p w14:paraId="65CBC4EF">
            <w:pPr>
              <w:widowControl/>
              <w:ind w:firstLine="240" w:firstLineChars="100"/>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c>
          <w:tcPr>
            <w:tcW w:w="830" w:type="dxa"/>
            <w:noWrap/>
            <w:vAlign w:val="center"/>
          </w:tcPr>
          <w:p w14:paraId="00996BD1">
            <w:pPr>
              <w:widowControl/>
              <w:ind w:firstLine="240" w:firstLineChars="100"/>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c>
          <w:tcPr>
            <w:tcW w:w="839" w:type="dxa"/>
            <w:gridSpan w:val="2"/>
            <w:noWrap/>
            <w:vAlign w:val="center"/>
          </w:tcPr>
          <w:p w14:paraId="0E6A7902">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95</w:t>
            </w:r>
          </w:p>
        </w:tc>
        <w:tc>
          <w:tcPr>
            <w:tcW w:w="840" w:type="dxa"/>
            <w:noWrap/>
            <w:vAlign w:val="center"/>
          </w:tcPr>
          <w:p w14:paraId="468A0795">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95</w:t>
            </w:r>
          </w:p>
        </w:tc>
        <w:tc>
          <w:tcPr>
            <w:tcW w:w="840" w:type="dxa"/>
            <w:noWrap/>
            <w:vAlign w:val="center"/>
          </w:tcPr>
          <w:p w14:paraId="3A05A994">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0</w:t>
            </w:r>
          </w:p>
        </w:tc>
        <w:tc>
          <w:tcPr>
            <w:tcW w:w="839" w:type="dxa"/>
            <w:noWrap/>
            <w:vAlign w:val="center"/>
          </w:tcPr>
          <w:p w14:paraId="4E649896">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100</w:t>
            </w:r>
          </w:p>
        </w:tc>
        <w:tc>
          <w:tcPr>
            <w:tcW w:w="839" w:type="dxa"/>
            <w:gridSpan w:val="2"/>
            <w:noWrap/>
            <w:vAlign w:val="center"/>
          </w:tcPr>
          <w:p w14:paraId="03786F18">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20</w:t>
            </w:r>
          </w:p>
        </w:tc>
        <w:tc>
          <w:tcPr>
            <w:tcW w:w="839" w:type="dxa"/>
            <w:gridSpan w:val="2"/>
            <w:noWrap/>
            <w:vAlign w:val="center"/>
          </w:tcPr>
          <w:p w14:paraId="6A5B9CB4">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20</w:t>
            </w:r>
          </w:p>
        </w:tc>
        <w:tc>
          <w:tcPr>
            <w:tcW w:w="875" w:type="dxa"/>
            <w:noWrap/>
            <w:vAlign w:val="center"/>
          </w:tcPr>
          <w:p w14:paraId="65A65759">
            <w:pPr>
              <w:widowControl/>
              <w:snapToGrid w:val="0"/>
              <w:jc w:val="center"/>
              <w:rPr>
                <w:rFonts w:ascii="宋体" w:hAnsi="宋体" w:eastAsia="方正仿宋_GBK" w:cs="方正仿宋_GBK"/>
                <w:color w:val="000000"/>
                <w:kern w:val="0"/>
                <w:sz w:val="24"/>
                <w:szCs w:val="24"/>
              </w:rPr>
            </w:pPr>
          </w:p>
        </w:tc>
      </w:tr>
      <w:tr w14:paraId="1E46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46" w:type="dxa"/>
            <w:vMerge w:val="continue"/>
            <w:noWrap/>
            <w:vAlign w:val="center"/>
          </w:tcPr>
          <w:p w14:paraId="52E161DD"/>
        </w:tc>
        <w:tc>
          <w:tcPr>
            <w:tcW w:w="1687" w:type="dxa"/>
            <w:gridSpan w:val="2"/>
            <w:noWrap/>
            <w:vAlign w:val="center"/>
          </w:tcPr>
          <w:p w14:paraId="19A28D32">
            <w:pPr>
              <w:widowControl/>
              <w:snapToGrid w:val="0"/>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培训人员满意度</w:t>
            </w:r>
          </w:p>
        </w:tc>
        <w:tc>
          <w:tcPr>
            <w:tcW w:w="850" w:type="dxa"/>
            <w:noWrap/>
            <w:vAlign w:val="center"/>
          </w:tcPr>
          <w:p w14:paraId="4827E9BB">
            <w:pPr>
              <w:widowControl/>
              <w:ind w:firstLine="240" w:firstLineChars="100"/>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c>
          <w:tcPr>
            <w:tcW w:w="830" w:type="dxa"/>
            <w:noWrap/>
            <w:vAlign w:val="center"/>
          </w:tcPr>
          <w:p w14:paraId="19F68146">
            <w:pPr>
              <w:widowControl/>
              <w:ind w:firstLine="240" w:firstLineChars="100"/>
              <w:jc w:val="lef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c>
          <w:tcPr>
            <w:tcW w:w="839" w:type="dxa"/>
            <w:gridSpan w:val="2"/>
            <w:noWrap/>
            <w:vAlign w:val="center"/>
          </w:tcPr>
          <w:p w14:paraId="182A5E78">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90</w:t>
            </w:r>
          </w:p>
        </w:tc>
        <w:tc>
          <w:tcPr>
            <w:tcW w:w="840" w:type="dxa"/>
            <w:noWrap/>
            <w:vAlign w:val="center"/>
          </w:tcPr>
          <w:p w14:paraId="76E0E016">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95</w:t>
            </w:r>
          </w:p>
        </w:tc>
        <w:tc>
          <w:tcPr>
            <w:tcW w:w="840" w:type="dxa"/>
            <w:noWrap/>
            <w:vAlign w:val="center"/>
          </w:tcPr>
          <w:p w14:paraId="71EA656E">
            <w:pPr>
              <w:widowControl/>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5.56</w:t>
            </w:r>
          </w:p>
        </w:tc>
        <w:tc>
          <w:tcPr>
            <w:tcW w:w="839" w:type="dxa"/>
            <w:noWrap/>
            <w:vAlign w:val="center"/>
          </w:tcPr>
          <w:p w14:paraId="5531DA28">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100</w:t>
            </w:r>
          </w:p>
        </w:tc>
        <w:tc>
          <w:tcPr>
            <w:tcW w:w="839" w:type="dxa"/>
            <w:gridSpan w:val="2"/>
            <w:noWrap/>
            <w:vAlign w:val="center"/>
          </w:tcPr>
          <w:p w14:paraId="2CC4BAF3">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839" w:type="dxa"/>
            <w:gridSpan w:val="2"/>
            <w:noWrap/>
            <w:vAlign w:val="center"/>
          </w:tcPr>
          <w:p w14:paraId="6D9EA6AF">
            <w:pPr>
              <w:widowControl/>
              <w:ind w:firstLine="240" w:firstLineChars="100"/>
              <w:jc w:val="right"/>
              <w:textAlignment w:val="center"/>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10</w:t>
            </w:r>
          </w:p>
        </w:tc>
        <w:tc>
          <w:tcPr>
            <w:tcW w:w="875" w:type="dxa"/>
            <w:noWrap/>
            <w:vAlign w:val="center"/>
          </w:tcPr>
          <w:p w14:paraId="106145F9">
            <w:pPr>
              <w:widowControl/>
              <w:snapToGrid w:val="0"/>
              <w:jc w:val="center"/>
              <w:rPr>
                <w:rFonts w:ascii="宋体" w:hAnsi="宋体" w:eastAsia="方正仿宋_GBK" w:cs="方正仿宋_GBK"/>
                <w:color w:val="000000"/>
                <w:kern w:val="0"/>
                <w:sz w:val="24"/>
                <w:szCs w:val="24"/>
              </w:rPr>
            </w:pPr>
          </w:p>
        </w:tc>
      </w:tr>
    </w:tbl>
    <w:p w14:paraId="1D015328">
      <w:pPr>
        <w:pStyle w:val="9"/>
        <w:tabs>
          <w:tab w:val="center" w:pos="4153"/>
          <w:tab w:val="left" w:pos="7275"/>
        </w:tabs>
        <w:spacing w:line="579" w:lineRule="exact"/>
        <w:ind w:firstLine="0" w:firstLineChars="0"/>
        <w:jc w:val="center"/>
        <w:rPr>
          <w:rFonts w:ascii="方正黑体_GBK" w:hAnsi="方正黑体_GBK" w:eastAsia="方正黑体_GBK" w:cs="方正黑体_GBK"/>
          <w:color w:val="000000"/>
          <w:kern w:val="0"/>
          <w:sz w:val="36"/>
          <w:szCs w:val="36"/>
        </w:rPr>
      </w:pPr>
    </w:p>
    <w:p w14:paraId="78CF76A5">
      <w:pPr>
        <w:pStyle w:val="9"/>
        <w:keepNext w:val="0"/>
        <w:keepLines w:val="0"/>
        <w:pageBreakBefore w:val="0"/>
        <w:widowControl w:val="0"/>
        <w:numPr>
          <w:ilvl w:val="0"/>
          <w:numId w:val="1"/>
        </w:numPr>
        <w:tabs>
          <w:tab w:val="center" w:pos="4153"/>
          <w:tab w:val="left" w:pos="7275"/>
        </w:tabs>
        <w:kinsoku/>
        <w:wordWrap/>
        <w:overflowPunct/>
        <w:topLinePunct w:val="0"/>
        <w:autoSpaceDE/>
        <w:autoSpaceDN/>
        <w:bidi w:val="0"/>
        <w:adjustRightInd/>
        <w:snapToGrid/>
        <w:spacing w:line="579" w:lineRule="exact"/>
        <w:ind w:firstLine="643"/>
        <w:textAlignment w:val="auto"/>
        <w:rPr>
          <w:rFonts w:ascii="宋体" w:hAnsi="宋体" w:eastAsia="方正仿宋_GBK" w:cs="方正仿宋_GBK"/>
          <w:b/>
          <w:kern w:val="0"/>
          <w:sz w:val="32"/>
          <w:szCs w:val="32"/>
        </w:rPr>
      </w:pPr>
      <w:bookmarkStart w:id="0" w:name="_GoBack"/>
      <w:r>
        <w:rPr>
          <w:rFonts w:hint="eastAsia" w:ascii="宋体" w:hAnsi="宋体" w:eastAsia="方正仿宋_GBK" w:cs="方正仿宋_GBK"/>
          <w:b/>
          <w:kern w:val="0"/>
          <w:sz w:val="32"/>
          <w:szCs w:val="32"/>
        </w:rPr>
        <w:t>绩效自评报告或案例</w:t>
      </w:r>
    </w:p>
    <w:p w14:paraId="17595C9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ascii="宋体" w:hAnsi="宋体" w:eastAsia="方正仿宋_GBK" w:cs="方正仿宋_GBK"/>
          <w:kern w:val="0"/>
          <w:sz w:val="32"/>
          <w:szCs w:val="32"/>
        </w:rPr>
      </w:pPr>
      <w:r>
        <w:rPr>
          <w:rFonts w:hint="eastAsia" w:ascii="宋体" w:hAnsi="宋体" w:eastAsia="方正仿宋_GBK" w:cs="方正仿宋_GBK"/>
          <w:kern w:val="0"/>
          <w:sz w:val="32"/>
          <w:szCs w:val="32"/>
        </w:rPr>
        <w:t>本单位无此事项。</w:t>
      </w:r>
    </w:p>
    <w:p w14:paraId="1B58631B">
      <w:pPr>
        <w:pStyle w:val="9"/>
        <w:keepNext w:val="0"/>
        <w:keepLines w:val="0"/>
        <w:pageBreakBefore w:val="0"/>
        <w:widowControl w:val="0"/>
        <w:numPr>
          <w:ilvl w:val="0"/>
          <w:numId w:val="1"/>
        </w:numPr>
        <w:tabs>
          <w:tab w:val="center" w:pos="4153"/>
          <w:tab w:val="left" w:pos="7275"/>
        </w:tabs>
        <w:kinsoku/>
        <w:wordWrap/>
        <w:overflowPunct/>
        <w:topLinePunct w:val="0"/>
        <w:autoSpaceDE/>
        <w:autoSpaceDN/>
        <w:bidi w:val="0"/>
        <w:adjustRightInd/>
        <w:snapToGrid/>
        <w:spacing w:line="579" w:lineRule="exact"/>
        <w:ind w:firstLine="643"/>
        <w:textAlignment w:val="auto"/>
        <w:rPr>
          <w:rFonts w:ascii="宋体" w:hAnsi="宋体" w:eastAsia="方正仿宋_GBK" w:cs="方正仿宋_GBK"/>
          <w:b/>
          <w:bCs/>
          <w:color w:val="000000"/>
          <w:kern w:val="0"/>
          <w:sz w:val="32"/>
          <w:szCs w:val="32"/>
        </w:rPr>
      </w:pPr>
      <w:r>
        <w:rPr>
          <w:rFonts w:hint="eastAsia" w:ascii="宋体" w:hAnsi="宋体" w:eastAsia="方正仿宋_GBK" w:cs="方正仿宋_GBK"/>
          <w:b/>
          <w:bCs/>
          <w:color w:val="000000"/>
          <w:kern w:val="0"/>
          <w:sz w:val="32"/>
          <w:szCs w:val="32"/>
        </w:rPr>
        <w:t>关于绩效自评结果的说明</w:t>
      </w:r>
    </w:p>
    <w:p w14:paraId="1CD146F0">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该项目资金主要用于保障全区应急干部培训支出，以提升全区应急干部综合素质和业务能力，有效履行防范化解重大安全风险，及时应对处置各类灾害事故的重要职责。2024年采取“网络培训+视频讲座+集中调训”方式强化安全生产培训，线上组织网络学习5期、700余人次，线下开展培训班2次、300余人次，培训考核合格率达90%以上。年末绩效评价达到年初预设的各项指标。</w:t>
      </w:r>
    </w:p>
    <w:p w14:paraId="7E512890">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14:paraId="70F338E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ascii="宋体" w:hAnsi="宋体" w:eastAsia="方正仿宋_GBK" w:cs="方正仿宋_GBK"/>
          <w:kern w:val="0"/>
          <w:sz w:val="32"/>
          <w:szCs w:val="32"/>
        </w:rPr>
      </w:pPr>
      <w:r>
        <w:rPr>
          <w:rFonts w:hint="eastAsia" w:ascii="宋体" w:hAnsi="宋体" w:eastAsia="方正仿宋_GBK" w:cs="方正仿宋_GBK"/>
          <w:kern w:val="0"/>
          <w:sz w:val="32"/>
          <w:szCs w:val="32"/>
        </w:rPr>
        <w:t>本单位无此事项。</w:t>
      </w:r>
    </w:p>
    <w:p w14:paraId="73139BBD">
      <w:pPr>
        <w:pStyle w:val="9"/>
        <w:keepNext w:val="0"/>
        <w:keepLines w:val="0"/>
        <w:pageBreakBefore w:val="0"/>
        <w:widowControl w:val="0"/>
        <w:numPr>
          <w:ilvl w:val="0"/>
          <w:numId w:val="2"/>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ascii="宋体" w:hAnsi="宋体" w:eastAsia="方正黑体_GBK" w:cs="方正黑体_GBK"/>
          <w:sz w:val="32"/>
          <w:szCs w:val="32"/>
        </w:rPr>
      </w:pPr>
      <w:r>
        <w:rPr>
          <w:rFonts w:hint="eastAsia" w:ascii="宋体" w:hAnsi="宋体" w:eastAsia="方正黑体_GBK" w:cs="方正黑体_GBK"/>
          <w:sz w:val="32"/>
          <w:szCs w:val="32"/>
        </w:rPr>
        <w:t>专业名词解释</w:t>
      </w:r>
    </w:p>
    <w:p w14:paraId="7F13885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（一）财政拨款收入：指本年度从本级财政单位取得的财政拨款，包括一般公共预算财政拨款和政府性基金预算财政拨款。</w:t>
      </w:r>
    </w:p>
    <w:p w14:paraId="0783886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（二）年初结转和结余：指单位上年结转本年使用的基本支出结转、项目支出结转和结余、经营结余。</w:t>
      </w:r>
    </w:p>
    <w:p w14:paraId="3464FC8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（三）年末结转和结余：指单位结转下年的基本支出结转、项目支出结转和结余、经营结余。</w:t>
      </w:r>
    </w:p>
    <w:p w14:paraId="00F8619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四）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B3A31C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（五）项目支出：指在基本支出之外为完成特定行政任务和事业发展目标所发生的支出。</w:t>
      </w:r>
    </w:p>
    <w:p w14:paraId="303E877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六）“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CD1543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（七）工资福利支出（支出经济分类科目类级）：反映单位开支的在职职工和编制外长期聘用人员的各类劳动报酬，以及为上述人员缴纳的各项社会保险费等。</w:t>
      </w:r>
    </w:p>
    <w:p w14:paraId="2FE6523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（八）商品和服务支出（支出经济分类科目类级）：反映单位购买商品和服务的支出（不包括用于购置固定资产的支出、战略性和应急储备支出）。</w:t>
      </w:r>
    </w:p>
    <w:p w14:paraId="3EA3F18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（九）对个人和家庭的补助（支出经济分类科目类级）：反映用于对个人和家庭的补助支出。</w:t>
      </w:r>
    </w:p>
    <w:p w14:paraId="68AEB934">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其他资本性支出（支出经济分类科目类级）：反映非各级发展与改革单位集中安排的用于购置固定资产、战略性和应急性储备、土地和无形资产，以及构建基础设施、大型修缮和财政支持企业更新改造所发生的支出。</w:t>
      </w:r>
    </w:p>
    <w:p w14:paraId="2268FBD1">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14:paraId="5DBF27D8">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14:paraId="1F302A56">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ascii="宋体" w:hAnsi="宋体" w:eastAsia="方正仿宋_GBK" w:cs="方正仿宋_GBK"/>
          <w:sz w:val="32"/>
          <w:szCs w:val="32"/>
        </w:rPr>
      </w:pPr>
      <w:r>
        <w:rPr>
          <w:rFonts w:hint="eastAsia" w:ascii="宋体" w:hAnsi="宋体" w:eastAsia="方正仿宋_GBK" w:cs="方正仿宋_GBK"/>
          <w:sz w:val="32"/>
          <w:szCs w:val="32"/>
        </w:rPr>
        <w:t xml:space="preserve">联系人：李剑冰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联系电话：13637711699</w:t>
      </w:r>
    </w:p>
    <w:bookmarkEnd w:id="0"/>
    <w:sectPr>
      <w:footerReference r:id="rId3" w:type="default"/>
      <w:footerReference r:id="rId4" w:type="even"/>
      <w:pgSz w:w="11906" w:h="16838"/>
      <w:pgMar w:top="1587" w:right="1474" w:bottom="1474" w:left="158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CA44">
    <w:pPr>
      <w:pStyle w:val="3"/>
      <w:jc w:val="right"/>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11</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385B8">
    <w:pPr>
      <w:pStyle w:val="3"/>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36AF54E0"/>
    <w:multiLevelType w:val="singleLevel"/>
    <w:tmpl w:val="36AF54E0"/>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47D6E"/>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6F5483"/>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091F"/>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47ECA"/>
    <w:rsid w:val="026B7642"/>
    <w:rsid w:val="02AC542A"/>
    <w:rsid w:val="03471F2E"/>
    <w:rsid w:val="038E49EB"/>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60A24AD"/>
    <w:rsid w:val="07640956"/>
    <w:rsid w:val="07A34544"/>
    <w:rsid w:val="07C5765D"/>
    <w:rsid w:val="08190B33"/>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5158C5"/>
    <w:rsid w:val="0E7C4EE8"/>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96D7C"/>
    <w:rsid w:val="14FD41CB"/>
    <w:rsid w:val="15546C2C"/>
    <w:rsid w:val="158240BB"/>
    <w:rsid w:val="160D5A33"/>
    <w:rsid w:val="164B77DE"/>
    <w:rsid w:val="164E5E0B"/>
    <w:rsid w:val="16565924"/>
    <w:rsid w:val="17081314"/>
    <w:rsid w:val="17532A55"/>
    <w:rsid w:val="17932EDC"/>
    <w:rsid w:val="17A36DDB"/>
    <w:rsid w:val="17A532AB"/>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FD1CC9"/>
    <w:rsid w:val="1C4E1577"/>
    <w:rsid w:val="1C96385A"/>
    <w:rsid w:val="1CE92F5C"/>
    <w:rsid w:val="1D437979"/>
    <w:rsid w:val="1D4708B1"/>
    <w:rsid w:val="1D656164"/>
    <w:rsid w:val="1E8900BD"/>
    <w:rsid w:val="1ECB269E"/>
    <w:rsid w:val="1EE66C3C"/>
    <w:rsid w:val="1EF96BEA"/>
    <w:rsid w:val="1F116510"/>
    <w:rsid w:val="1F1C3B7B"/>
    <w:rsid w:val="1FAE1C50"/>
    <w:rsid w:val="200551AB"/>
    <w:rsid w:val="205932DE"/>
    <w:rsid w:val="20A03801"/>
    <w:rsid w:val="20BC5FF2"/>
    <w:rsid w:val="219D4F8D"/>
    <w:rsid w:val="222807B1"/>
    <w:rsid w:val="22435D4E"/>
    <w:rsid w:val="2245419D"/>
    <w:rsid w:val="22FE317D"/>
    <w:rsid w:val="237704D4"/>
    <w:rsid w:val="23891077"/>
    <w:rsid w:val="23A1558C"/>
    <w:rsid w:val="23BE50B1"/>
    <w:rsid w:val="2422161E"/>
    <w:rsid w:val="246E6851"/>
    <w:rsid w:val="24942E5E"/>
    <w:rsid w:val="24954F65"/>
    <w:rsid w:val="24C7511E"/>
    <w:rsid w:val="254259F1"/>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1CC0F36"/>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D7312A1"/>
    <w:rsid w:val="3D8F2FFE"/>
    <w:rsid w:val="3D8F779B"/>
    <w:rsid w:val="3DB31849"/>
    <w:rsid w:val="3E15702B"/>
    <w:rsid w:val="3E247857"/>
    <w:rsid w:val="3E984240"/>
    <w:rsid w:val="3EAD34C3"/>
    <w:rsid w:val="3EBE7C37"/>
    <w:rsid w:val="3F120426"/>
    <w:rsid w:val="3F1976B6"/>
    <w:rsid w:val="3F5E6431"/>
    <w:rsid w:val="3F8C0907"/>
    <w:rsid w:val="3F9B5E29"/>
    <w:rsid w:val="3FDC0B27"/>
    <w:rsid w:val="400454FD"/>
    <w:rsid w:val="40552C1F"/>
    <w:rsid w:val="4057229F"/>
    <w:rsid w:val="405F7DEE"/>
    <w:rsid w:val="40992FB0"/>
    <w:rsid w:val="40DB7824"/>
    <w:rsid w:val="410115DD"/>
    <w:rsid w:val="418A21AD"/>
    <w:rsid w:val="41A212A1"/>
    <w:rsid w:val="41EC42BB"/>
    <w:rsid w:val="4239228E"/>
    <w:rsid w:val="428A1304"/>
    <w:rsid w:val="42E44C98"/>
    <w:rsid w:val="431B6113"/>
    <w:rsid w:val="438834DF"/>
    <w:rsid w:val="43A20A3C"/>
    <w:rsid w:val="440B4462"/>
    <w:rsid w:val="444C66C3"/>
    <w:rsid w:val="44630F9F"/>
    <w:rsid w:val="446A3603"/>
    <w:rsid w:val="458B573C"/>
    <w:rsid w:val="45CE60A3"/>
    <w:rsid w:val="461C57E1"/>
    <w:rsid w:val="46317690"/>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901682D"/>
    <w:rsid w:val="491F1E3E"/>
    <w:rsid w:val="497E4D40"/>
    <w:rsid w:val="498D6EB3"/>
    <w:rsid w:val="49932C9F"/>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6F41095"/>
    <w:rsid w:val="57243894"/>
    <w:rsid w:val="576B630C"/>
    <w:rsid w:val="57906076"/>
    <w:rsid w:val="57F77E8D"/>
    <w:rsid w:val="584101D8"/>
    <w:rsid w:val="584366A5"/>
    <w:rsid w:val="58464AEC"/>
    <w:rsid w:val="58D37D03"/>
    <w:rsid w:val="58F80B81"/>
    <w:rsid w:val="59171D29"/>
    <w:rsid w:val="594B64BC"/>
    <w:rsid w:val="59C1394B"/>
    <w:rsid w:val="59E4333B"/>
    <w:rsid w:val="5A327175"/>
    <w:rsid w:val="5A461F67"/>
    <w:rsid w:val="5A4D12DB"/>
    <w:rsid w:val="5AA95942"/>
    <w:rsid w:val="5B9A1A90"/>
    <w:rsid w:val="5BDA4631"/>
    <w:rsid w:val="5BEA616D"/>
    <w:rsid w:val="5C620610"/>
    <w:rsid w:val="5C7C27CC"/>
    <w:rsid w:val="5C8E6646"/>
    <w:rsid w:val="5CA1473C"/>
    <w:rsid w:val="5D743AF2"/>
    <w:rsid w:val="5D784DB7"/>
    <w:rsid w:val="5D804113"/>
    <w:rsid w:val="5D86298B"/>
    <w:rsid w:val="5DF574B1"/>
    <w:rsid w:val="5E01598A"/>
    <w:rsid w:val="5E0518AE"/>
    <w:rsid w:val="5E074651"/>
    <w:rsid w:val="5E7319C7"/>
    <w:rsid w:val="5F3F14B1"/>
    <w:rsid w:val="5F4A1944"/>
    <w:rsid w:val="5F736A1C"/>
    <w:rsid w:val="5F7C1524"/>
    <w:rsid w:val="61431576"/>
    <w:rsid w:val="61B07674"/>
    <w:rsid w:val="61D16983"/>
    <w:rsid w:val="63B16DA6"/>
    <w:rsid w:val="64325BAA"/>
    <w:rsid w:val="6474563E"/>
    <w:rsid w:val="64DD2E2F"/>
    <w:rsid w:val="650C79CC"/>
    <w:rsid w:val="651F0B40"/>
    <w:rsid w:val="652A3DEE"/>
    <w:rsid w:val="654A3BA1"/>
    <w:rsid w:val="65720792"/>
    <w:rsid w:val="65727ED4"/>
    <w:rsid w:val="658D11B9"/>
    <w:rsid w:val="65A15618"/>
    <w:rsid w:val="660467A7"/>
    <w:rsid w:val="662944AB"/>
    <w:rsid w:val="66471D7C"/>
    <w:rsid w:val="667D6EFB"/>
    <w:rsid w:val="66FD7813"/>
    <w:rsid w:val="67825ED9"/>
    <w:rsid w:val="67A0385B"/>
    <w:rsid w:val="67B37940"/>
    <w:rsid w:val="686C2A53"/>
    <w:rsid w:val="689C4BB9"/>
    <w:rsid w:val="68A245E2"/>
    <w:rsid w:val="68B0544A"/>
    <w:rsid w:val="690F3CAF"/>
    <w:rsid w:val="698B337B"/>
    <w:rsid w:val="6A0C28CE"/>
    <w:rsid w:val="6A650A4D"/>
    <w:rsid w:val="6B7060C6"/>
    <w:rsid w:val="6C60029B"/>
    <w:rsid w:val="6C927168"/>
    <w:rsid w:val="6D8C5247"/>
    <w:rsid w:val="6DEE1E17"/>
    <w:rsid w:val="6E904287"/>
    <w:rsid w:val="6EA83056"/>
    <w:rsid w:val="6EB55F1D"/>
    <w:rsid w:val="6EBE51FD"/>
    <w:rsid w:val="6EF364B6"/>
    <w:rsid w:val="6F2540A9"/>
    <w:rsid w:val="6F616041"/>
    <w:rsid w:val="700B56BF"/>
    <w:rsid w:val="700F5C73"/>
    <w:rsid w:val="70817FC6"/>
    <w:rsid w:val="70AF0E0B"/>
    <w:rsid w:val="70C87CAA"/>
    <w:rsid w:val="70CF179B"/>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56026FD"/>
    <w:rsid w:val="757027FD"/>
    <w:rsid w:val="762064F5"/>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8D37FAF"/>
    <w:rsid w:val="79383F91"/>
    <w:rsid w:val="796C56F2"/>
    <w:rsid w:val="79DA4CD9"/>
    <w:rsid w:val="79DC3C10"/>
    <w:rsid w:val="79F32D29"/>
    <w:rsid w:val="7A3031E0"/>
    <w:rsid w:val="7A5F3AF6"/>
    <w:rsid w:val="7A640644"/>
    <w:rsid w:val="7A66765A"/>
    <w:rsid w:val="7AB07AB2"/>
    <w:rsid w:val="7AE71AF0"/>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E73EF"/>
    <w:rsid w:val="7EF23A73"/>
    <w:rsid w:val="7F523D4E"/>
    <w:rsid w:val="7F7D4793"/>
    <w:rsid w:val="7FFD3B64"/>
    <w:rsid w:val="F3FD6B2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jc w:val="left"/>
    </w:pPr>
    <w:rPr>
      <w:rFonts w:hint="eastAsia" w:ascii="宋体" w:hAnsi="宋体"/>
      <w:kern w:val="0"/>
      <w:sz w:val="24"/>
      <w:szCs w:val="24"/>
    </w:rPr>
  </w:style>
  <w:style w:type="character" w:customStyle="1" w:styleId="11">
    <w:name w:val="页眉 Char"/>
    <w:link w:val="4"/>
    <w:qFormat/>
    <w:uiPriority w:val="99"/>
    <w:rPr>
      <w:sz w:val="18"/>
      <w:szCs w:val="18"/>
    </w:rPr>
  </w:style>
  <w:style w:type="character" w:customStyle="1" w:styleId="12">
    <w:name w:val="页脚 Char1"/>
    <w:link w:val="3"/>
    <w:qFormat/>
    <w:uiPriority w:val="99"/>
    <w:rPr>
      <w:sz w:val="18"/>
      <w:szCs w:val="18"/>
    </w:rPr>
  </w:style>
  <w:style w:type="character" w:customStyle="1" w:styleId="13">
    <w:name w:val="批注框文本 Char"/>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4598</Words>
  <Characters>5298</Characters>
  <Lines>39</Lines>
  <Paragraphs>11</Paragraphs>
  <TotalTime>1</TotalTime>
  <ScaleCrop>false</ScaleCrop>
  <LinksUpToDate>false</LinksUpToDate>
  <CharactersWithSpaces>5301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王春梅</cp:lastModifiedBy>
  <cp:lastPrinted>2023-08-10T09:16:00Z</cp:lastPrinted>
  <dcterms:modified xsi:type="dcterms:W3CDTF">2025-08-19T07:21:04Z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C5C051BE58ED47B681D748640379E264</vt:lpwstr>
  </property>
  <property fmtid="{D5CDD505-2E9C-101B-9397-08002B2CF9AE}" pid="4" name="KSOTemplateDocerSaveRecord">
    <vt:lpwstr>eyJoZGlkIjoiNzY5ZTA2M2M4NGI0MjM3MWRhYTlmNTZlYTNiYTcxNzYiLCJ1c2VySWQiOiI0NTA3MzA0MjAifQ==</vt:lpwstr>
  </property>
</Properties>
</file>